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48BE52B"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4931C8">
        <w:rPr>
          <w:rFonts w:cs="Arial"/>
          <w:b/>
          <w:sz w:val="24"/>
          <w:szCs w:val="24"/>
        </w:rPr>
        <w:t>0545</w:t>
      </w:r>
      <w:bookmarkStart w:id="2" w:name="_GoBack"/>
      <w:bookmarkEnd w:id="2"/>
    </w:p>
    <w:p w14:paraId="31DCE6A5" w14:textId="4636837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Pr>
          <w:b/>
          <w:sz w:val="24"/>
          <w:szCs w:val="24"/>
          <w:lang w:eastAsia="zh-CN"/>
        </w:rPr>
        <w:t>Jan. 25</w:t>
      </w:r>
      <w:r w:rsidRPr="00BF1228">
        <w:rPr>
          <w:b/>
          <w:sz w:val="24"/>
          <w:szCs w:val="24"/>
          <w:lang w:eastAsia="zh-CN"/>
        </w:rPr>
        <w:t>-</w:t>
      </w:r>
      <w:r>
        <w:rPr>
          <w:b/>
          <w:sz w:val="24"/>
          <w:szCs w:val="24"/>
          <w:lang w:eastAsia="zh-CN"/>
        </w:rPr>
        <w:t>Feb. 5</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DF56823"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4685C" w:rsidRPr="00A4685C">
        <w:rPr>
          <w:rFonts w:cs="Arial"/>
          <w:sz w:val="22"/>
        </w:rPr>
        <w:t>Band 24</w:t>
      </w:r>
      <w:r w:rsidR="00331AA5">
        <w:rPr>
          <w:rFonts w:cs="Arial"/>
          <w:sz w:val="22"/>
        </w:rPr>
        <w:t xml:space="preserve">, </w:t>
      </w:r>
      <w:r w:rsidR="00A4685C" w:rsidRPr="00A4685C">
        <w:rPr>
          <w:rFonts w:cs="Arial"/>
          <w:sz w:val="22"/>
        </w:rPr>
        <w:t xml:space="preserve">n24 </w:t>
      </w:r>
      <w:r w:rsidR="00331AA5">
        <w:rPr>
          <w:rFonts w:cs="Arial"/>
          <w:sz w:val="22"/>
        </w:rPr>
        <w:t xml:space="preserve">and n99 </w:t>
      </w:r>
      <w:r w:rsidR="00A4685C" w:rsidRPr="00A4685C">
        <w:rPr>
          <w:rFonts w:cs="Arial"/>
          <w:sz w:val="22"/>
        </w:rPr>
        <w:t>A-MPR</w:t>
      </w:r>
    </w:p>
    <w:p w14:paraId="73BCD5A1" w14:textId="0417BA26"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74679" w:rsidRPr="00674679">
        <w:rPr>
          <w:rFonts w:ascii="Arial" w:hAnsi="Arial" w:cs="Arial"/>
          <w:sz w:val="22"/>
        </w:rPr>
        <w:t xml:space="preserve">9.26.1 UE </w:t>
      </w:r>
      <w:r w:rsidR="00674679">
        <w:rPr>
          <w:rFonts w:ascii="Arial" w:hAnsi="Arial" w:cs="Arial"/>
          <w:sz w:val="22"/>
        </w:rPr>
        <w:t>RF (38.101-1) [NR_band_n24-Core</w:t>
      </w:r>
      <w:r w:rsidR="00A4685C" w:rsidRPr="00A4685C">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A17FE5D"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063BB">
        <w:rPr>
          <w:rFonts w:eastAsia="SimSun"/>
          <w:lang w:eastAsia="zh-CN"/>
        </w:rPr>
        <w:t>4</w:t>
      </w:r>
      <w:r w:rsidR="00154E81">
        <w:rPr>
          <w:rFonts w:eastAsia="SimSun"/>
          <w:lang w:eastAsia="zh-CN"/>
        </w:rPr>
        <w:t>#</w:t>
      </w:r>
      <w:r w:rsidR="008063BB">
        <w:rPr>
          <w:rFonts w:eastAsia="SimSun"/>
          <w:lang w:eastAsia="zh-CN"/>
        </w:rPr>
        <w:t>9</w:t>
      </w:r>
      <w:r w:rsidR="00674679">
        <w:rPr>
          <w:rFonts w:eastAsia="SimSun"/>
          <w:lang w:eastAsia="zh-CN"/>
        </w:rPr>
        <w:t>7</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20305A">
        <w:rPr>
          <w:rFonts w:eastAsia="SimSun"/>
          <w:lang w:eastAsia="zh-CN"/>
        </w:rPr>
        <w:t xml:space="preserve">a way forward [1] agreed </w:t>
      </w:r>
      <w:r w:rsidR="009A7D8C">
        <w:rPr>
          <w:rFonts w:eastAsia="SimSun"/>
          <w:lang w:eastAsia="zh-CN"/>
        </w:rPr>
        <w:t xml:space="preserve">as to </w:t>
      </w:r>
      <w:r w:rsidR="00674679">
        <w:rPr>
          <w:rFonts w:eastAsia="SimSun"/>
          <w:lang w:eastAsia="zh-CN"/>
        </w:rPr>
        <w:t xml:space="preserve">which A-MPR evaluation assumptions should be used for PA calibration, transceiver impairments and filter rejections. This </w:t>
      </w:r>
      <w:r w:rsidR="00827057">
        <w:rPr>
          <w:rFonts w:eastAsia="SimSun"/>
          <w:lang w:eastAsia="zh-CN"/>
        </w:rPr>
        <w:t xml:space="preserve">way forward </w:t>
      </w:r>
      <w:r w:rsidR="00674679">
        <w:rPr>
          <w:rFonts w:eastAsia="SimSun"/>
          <w:lang w:eastAsia="zh-CN"/>
        </w:rPr>
        <w:t>covered assumptions for</w:t>
      </w:r>
      <w:r w:rsidR="0020305A">
        <w:rPr>
          <w:rFonts w:eastAsia="SimSun"/>
          <w:lang w:eastAsia="zh-CN"/>
        </w:rPr>
        <w:t xml:space="preserve"> </w:t>
      </w:r>
      <w:r w:rsidR="00674679">
        <w:rPr>
          <w:rFonts w:eastAsia="SimSun"/>
          <w:lang w:eastAsia="zh-CN"/>
        </w:rPr>
        <w:t>LTE b</w:t>
      </w:r>
      <w:r w:rsidR="0020305A">
        <w:rPr>
          <w:rFonts w:eastAsia="SimSun"/>
          <w:lang w:eastAsia="zh-CN"/>
        </w:rPr>
        <w:t xml:space="preserve">and </w:t>
      </w:r>
      <w:r w:rsidR="00674679">
        <w:rPr>
          <w:rFonts w:eastAsia="SimSun"/>
          <w:lang w:eastAsia="zh-CN"/>
        </w:rPr>
        <w:t xml:space="preserve">24, NR FDD band </w:t>
      </w:r>
      <w:r w:rsidR="0020305A">
        <w:rPr>
          <w:rFonts w:eastAsia="SimSun"/>
          <w:lang w:eastAsia="zh-CN"/>
        </w:rPr>
        <w:t>n24</w:t>
      </w:r>
      <w:r w:rsidR="00674679">
        <w:rPr>
          <w:rFonts w:eastAsia="SimSun"/>
          <w:lang w:eastAsia="zh-CN"/>
        </w:rPr>
        <w:t xml:space="preserve"> and corresponding NR SUL band </w:t>
      </w:r>
      <w:r w:rsidR="00827057">
        <w:rPr>
          <w:rFonts w:eastAsia="SimSun"/>
          <w:lang w:eastAsia="zh-CN"/>
        </w:rPr>
        <w:t>n99.</w:t>
      </w:r>
      <w:r w:rsidR="0020305A">
        <w:rPr>
          <w:rFonts w:eastAsia="SimSun"/>
          <w:lang w:eastAsia="zh-CN"/>
        </w:rPr>
        <w:t xml:space="preserve"> </w:t>
      </w:r>
      <w:r w:rsidR="00827057">
        <w:rPr>
          <w:rFonts w:eastAsia="SimSun"/>
          <w:lang w:eastAsia="zh-CN"/>
        </w:rPr>
        <w:t>These assumptions have a slightly different assumption for the filter performance, so this contribution reuses the measurements already presented in [2] and re-assess</w:t>
      </w:r>
      <w:r w:rsidR="009A7D8C">
        <w:rPr>
          <w:rFonts w:eastAsia="SimSun"/>
          <w:lang w:eastAsia="zh-CN"/>
        </w:rPr>
        <w:t>es</w:t>
      </w:r>
      <w:r w:rsidR="00827057">
        <w:rPr>
          <w:rFonts w:eastAsia="SimSun"/>
          <w:lang w:eastAsia="zh-CN"/>
        </w:rPr>
        <w:t xml:space="preserve"> the </w:t>
      </w:r>
      <w:r w:rsidR="00B82A8C">
        <w:rPr>
          <w:rFonts w:eastAsia="SimSun"/>
          <w:lang w:eastAsia="zh-CN"/>
        </w:rPr>
        <w:t>corresponding</w:t>
      </w:r>
      <w:r w:rsidR="00827057">
        <w:rPr>
          <w:rFonts w:eastAsia="SimSun"/>
          <w:lang w:eastAsia="zh-CN"/>
        </w:rPr>
        <w:t xml:space="preserve"> A-MPR values</w:t>
      </w:r>
      <w:r w:rsidR="0020305A">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2F94F4A6" w14:textId="73053463" w:rsidR="00D05BB1" w:rsidRDefault="00D05BB1" w:rsidP="00D05BB1">
      <w:pPr>
        <w:pStyle w:val="Heading2"/>
        <w:spacing w:after="240"/>
        <w:rPr>
          <w:sz w:val="36"/>
          <w:lang w:val="en-US"/>
        </w:rPr>
      </w:pPr>
      <w:r>
        <w:rPr>
          <w:sz w:val="36"/>
          <w:lang w:val="en-US"/>
        </w:rPr>
        <w:t xml:space="preserve">Band 24 </w:t>
      </w:r>
      <w:r w:rsidR="00827057">
        <w:rPr>
          <w:sz w:val="36"/>
          <w:lang w:val="en-US"/>
        </w:rPr>
        <w:t>A-MPR Evaluation assumptions</w:t>
      </w:r>
    </w:p>
    <w:p w14:paraId="69E1D6AC" w14:textId="15861BD7" w:rsidR="00827057" w:rsidRDefault="00827057" w:rsidP="00ED5E09">
      <w:pPr>
        <w:spacing w:after="0"/>
      </w:pPr>
      <w:r>
        <w:t>From [1]</w:t>
      </w:r>
      <w:r w:rsidR="009A7D8C">
        <w:t>,</w:t>
      </w:r>
      <w:r>
        <w:t xml:space="preserve"> the following assumptions are used.</w:t>
      </w:r>
    </w:p>
    <w:p w14:paraId="26ADAE78" w14:textId="77777777" w:rsidR="00827057" w:rsidRDefault="00827057" w:rsidP="00ED5E09">
      <w:pPr>
        <w:spacing w:after="0"/>
      </w:pPr>
    </w:p>
    <w:p w14:paraId="697E0E10" w14:textId="6A63FAAE" w:rsidR="00827057" w:rsidRDefault="00827057" w:rsidP="00ED5E09">
      <w:pPr>
        <w:spacing w:after="0"/>
      </w:pPr>
      <w:r>
        <w:t>Transmitter assumptions:</w:t>
      </w:r>
    </w:p>
    <w:p w14:paraId="1FB9A4A7" w14:textId="73132108" w:rsidR="00827057" w:rsidRDefault="00827057" w:rsidP="00827057">
      <w:pPr>
        <w:pStyle w:val="ListParagraph"/>
        <w:numPr>
          <w:ilvl w:val="0"/>
          <w:numId w:val="26"/>
        </w:numPr>
        <w:spacing w:after="0"/>
      </w:pPr>
      <w:r>
        <w:t xml:space="preserve">0 </w:t>
      </w:r>
      <w:proofErr w:type="spellStart"/>
      <w:r>
        <w:t>dBi</w:t>
      </w:r>
      <w:proofErr w:type="spellEnd"/>
      <w:r>
        <w:t xml:space="preserve"> UE antenna gain</w:t>
      </w:r>
      <w:r w:rsidR="00973ED7">
        <w:t xml:space="preserve">, </w:t>
      </w:r>
      <w:r>
        <w:t>4 dB post-PA losses</w:t>
      </w:r>
    </w:p>
    <w:p w14:paraId="2FEE6D17" w14:textId="77777777" w:rsidR="00827057" w:rsidRDefault="00827057" w:rsidP="00827057">
      <w:pPr>
        <w:pStyle w:val="ListParagraph"/>
        <w:numPr>
          <w:ilvl w:val="0"/>
          <w:numId w:val="26"/>
        </w:numPr>
        <w:spacing w:after="0"/>
      </w:pPr>
      <w:r>
        <w:t xml:space="preserve">PA calibrated at 1 dB MPR for -30 </w:t>
      </w:r>
      <w:proofErr w:type="spellStart"/>
      <w:r>
        <w:t>dBc</w:t>
      </w:r>
      <w:proofErr w:type="spellEnd"/>
      <w:r>
        <w:t xml:space="preserve"> EUTRA/NR ACLR with 20 MHz DFT-s-OFDM 100 RB0 waveform</w:t>
      </w:r>
    </w:p>
    <w:p w14:paraId="720D5B24" w14:textId="03AB0903" w:rsidR="00827057" w:rsidRDefault="00827057" w:rsidP="00827057">
      <w:pPr>
        <w:pStyle w:val="ListParagraph"/>
        <w:numPr>
          <w:ilvl w:val="0"/>
          <w:numId w:val="26"/>
        </w:numPr>
        <w:spacing w:after="0"/>
      </w:pPr>
      <w:r>
        <w:t xml:space="preserve">Image/carrier leakage = -25 </w:t>
      </w:r>
      <w:proofErr w:type="spellStart"/>
      <w:r>
        <w:t>dBc</w:t>
      </w:r>
      <w:proofErr w:type="spellEnd"/>
      <w:r>
        <w:t xml:space="preserve"> for LTE and-28 </w:t>
      </w:r>
      <w:proofErr w:type="spellStart"/>
      <w:r>
        <w:t>dBc</w:t>
      </w:r>
      <w:proofErr w:type="spellEnd"/>
      <w:r>
        <w:t xml:space="preserve"> for NR</w:t>
      </w:r>
      <w:r w:rsidR="00973ED7">
        <w:t xml:space="preserve">, </w:t>
      </w:r>
      <w:r>
        <w:t xml:space="preserve">-60 </w:t>
      </w:r>
      <w:proofErr w:type="spellStart"/>
      <w:r>
        <w:t>dBc</w:t>
      </w:r>
      <w:proofErr w:type="spellEnd"/>
      <w:r>
        <w:t xml:space="preserve"> CIM3 and -70 </w:t>
      </w:r>
      <w:proofErr w:type="spellStart"/>
      <w:r>
        <w:t>dBc</w:t>
      </w:r>
      <w:proofErr w:type="spellEnd"/>
      <w:r>
        <w:t xml:space="preserve"> CIM5</w:t>
      </w:r>
    </w:p>
    <w:p w14:paraId="3E720252" w14:textId="77777777" w:rsidR="00827057" w:rsidRDefault="00827057" w:rsidP="00ED5E09">
      <w:pPr>
        <w:spacing w:after="0"/>
      </w:pPr>
    </w:p>
    <w:p w14:paraId="703528A6" w14:textId="44CC32FA" w:rsidR="00827057" w:rsidRDefault="00827057" w:rsidP="00ED5E09">
      <w:pPr>
        <w:spacing w:after="0"/>
      </w:pPr>
      <w:r>
        <w:t>Filter assumptions:</w:t>
      </w:r>
    </w:p>
    <w:p w14:paraId="42E9AC9A" w14:textId="77777777" w:rsidR="00827057" w:rsidRDefault="00827057" w:rsidP="00827057">
      <w:pPr>
        <w:pStyle w:val="ListParagraph"/>
        <w:numPr>
          <w:ilvl w:val="0"/>
          <w:numId w:val="27"/>
        </w:numPr>
        <w:spacing w:after="0"/>
      </w:pPr>
      <w:proofErr w:type="spellStart"/>
      <w:r>
        <w:t>Tx</w:t>
      </w:r>
      <w:proofErr w:type="spellEnd"/>
      <w:r>
        <w:t xml:space="preserve"> attenuation in 1541 – 1612 MHz = 41.0 dB</w:t>
      </w:r>
    </w:p>
    <w:p w14:paraId="198F61FF" w14:textId="77777777" w:rsidR="00827057" w:rsidRDefault="00827057" w:rsidP="00827057">
      <w:pPr>
        <w:pStyle w:val="ListParagraph"/>
        <w:numPr>
          <w:ilvl w:val="0"/>
          <w:numId w:val="27"/>
        </w:numPr>
        <w:spacing w:after="0"/>
      </w:pPr>
      <w:proofErr w:type="spellStart"/>
      <w:r>
        <w:t>Tx</w:t>
      </w:r>
      <w:proofErr w:type="spellEnd"/>
      <w:r>
        <w:t xml:space="preserve"> attenuation in 1612 – 1617 MHz = dB linear interpolation from 41.0 dB at 1612 MHz to 12.5 dB at 1617 MHz</w:t>
      </w:r>
    </w:p>
    <w:p w14:paraId="2CAF2325" w14:textId="77777777" w:rsidR="00827057" w:rsidRDefault="00827057" w:rsidP="00827057">
      <w:pPr>
        <w:pStyle w:val="ListParagraph"/>
        <w:numPr>
          <w:ilvl w:val="0"/>
          <w:numId w:val="27"/>
        </w:numPr>
        <w:spacing w:after="0"/>
      </w:pPr>
      <w:proofErr w:type="spellStart"/>
      <w:r>
        <w:t>Tx</w:t>
      </w:r>
      <w:proofErr w:type="spellEnd"/>
      <w:r>
        <w:t xml:space="preserve"> attenuation in 1617 – 1622 MHz = dB linear interpolation from 12.5 dB at 1617 MHz to 0 dB at 1622 MHz</w:t>
      </w:r>
    </w:p>
    <w:p w14:paraId="42655720" w14:textId="55E3FC0F" w:rsidR="00827057" w:rsidRDefault="00827057" w:rsidP="00827057">
      <w:pPr>
        <w:pStyle w:val="ListParagraph"/>
        <w:numPr>
          <w:ilvl w:val="0"/>
          <w:numId w:val="27"/>
        </w:numPr>
        <w:spacing w:after="0"/>
      </w:pPr>
      <w:proofErr w:type="spellStart"/>
      <w:r>
        <w:t>Tx</w:t>
      </w:r>
      <w:proofErr w:type="spellEnd"/>
      <w:r>
        <w:t xml:space="preserve"> attenuation in 1622 – 1627.5 MHz = 0 dB</w:t>
      </w:r>
    </w:p>
    <w:p w14:paraId="490401D6" w14:textId="77777777" w:rsidR="00827057" w:rsidRDefault="00827057" w:rsidP="00827057">
      <w:pPr>
        <w:spacing w:after="0"/>
      </w:pPr>
    </w:p>
    <w:p w14:paraId="0FE972C2" w14:textId="2FC453E9" w:rsidR="00B82A8C" w:rsidRDefault="00B82A8C" w:rsidP="00827057">
      <w:pPr>
        <w:spacing w:after="0"/>
      </w:pPr>
      <w:r>
        <w:t>Emission Requirements</w:t>
      </w:r>
      <w:r w:rsidR="00154A0B">
        <w:t xml:space="preserve"> per frequency range</w:t>
      </w:r>
      <w:r>
        <w:t>:</w:t>
      </w:r>
    </w:p>
    <w:p w14:paraId="25DF12B7" w14:textId="3D2691CF" w:rsidR="00154A0B" w:rsidRDefault="00154A0B" w:rsidP="00154A0B">
      <w:pPr>
        <w:pStyle w:val="ListParagraph"/>
        <w:numPr>
          <w:ilvl w:val="0"/>
          <w:numId w:val="30"/>
        </w:numPr>
        <w:spacing w:after="0"/>
      </w:pPr>
      <w:r>
        <w:t xml:space="preserve">1541 ≤ f ≤ 1559: -102 </w:t>
      </w:r>
      <w:proofErr w:type="spellStart"/>
      <w:r>
        <w:t>dBm</w:t>
      </w:r>
      <w:proofErr w:type="spellEnd"/>
      <w:r>
        <w:t>/2kHz</w:t>
      </w:r>
    </w:p>
    <w:p w14:paraId="79DDB86A" w14:textId="0BB47CD5" w:rsidR="00154A0B" w:rsidRDefault="00154A0B" w:rsidP="00154A0B">
      <w:pPr>
        <w:pStyle w:val="ListParagraph"/>
        <w:numPr>
          <w:ilvl w:val="0"/>
          <w:numId w:val="30"/>
        </w:numPr>
        <w:spacing w:after="0"/>
      </w:pPr>
      <w:r>
        <w:t>1559≤ f ≤ 1608</w:t>
      </w:r>
      <w:r>
        <w:tab/>
        <w:t xml:space="preserve">: -85 </w:t>
      </w:r>
      <w:proofErr w:type="spellStart"/>
      <w:r>
        <w:t>dBm</w:t>
      </w:r>
      <w:proofErr w:type="spellEnd"/>
      <w:r>
        <w:t>/700Hz</w:t>
      </w:r>
    </w:p>
    <w:p w14:paraId="49F8B4B7" w14:textId="1DB97121" w:rsidR="00154A0B" w:rsidRDefault="00154A0B" w:rsidP="00154A0B">
      <w:pPr>
        <w:pStyle w:val="ListParagraph"/>
        <w:numPr>
          <w:ilvl w:val="0"/>
          <w:numId w:val="30"/>
        </w:numPr>
        <w:spacing w:after="0"/>
      </w:pPr>
      <w:r>
        <w:t xml:space="preserve">1608≤ f ≤ 1610: -85 +5/2 (f-1608) </w:t>
      </w:r>
      <w:proofErr w:type="spellStart"/>
      <w:r>
        <w:t>dBm</w:t>
      </w:r>
      <w:proofErr w:type="spellEnd"/>
      <w:r>
        <w:t>/700Hz</w:t>
      </w:r>
    </w:p>
    <w:p w14:paraId="6539B435" w14:textId="40CD4D0A" w:rsidR="00154A0B" w:rsidRDefault="00154A0B" w:rsidP="00154A0B">
      <w:pPr>
        <w:pStyle w:val="ListParagraph"/>
        <w:numPr>
          <w:ilvl w:val="0"/>
          <w:numId w:val="30"/>
        </w:numPr>
        <w:spacing w:after="0"/>
      </w:pPr>
      <w:r>
        <w:t>1610≤ f ≤ 1625: -80+ 66/15 (f-1610)</w:t>
      </w:r>
      <w:r>
        <w:tab/>
        <w:t xml:space="preserve"> </w:t>
      </w:r>
      <w:proofErr w:type="spellStart"/>
      <w:r>
        <w:t>dBm</w:t>
      </w:r>
      <w:proofErr w:type="spellEnd"/>
      <w:r>
        <w:t>/700Hz</w:t>
      </w:r>
    </w:p>
    <w:p w14:paraId="71C34C63" w14:textId="2625A78F" w:rsidR="00154A0B" w:rsidRPr="00154A0B" w:rsidRDefault="00154A0B" w:rsidP="00154A0B">
      <w:pPr>
        <w:pStyle w:val="ListParagraph"/>
        <w:numPr>
          <w:ilvl w:val="0"/>
          <w:numId w:val="30"/>
        </w:numPr>
        <w:spacing w:after="0"/>
        <w:rPr>
          <w:b/>
        </w:rPr>
      </w:pPr>
      <w:r w:rsidRPr="00154A0B">
        <w:rPr>
          <w:b/>
        </w:rPr>
        <w:t xml:space="preserve">1541 ≤ f ≤ 1608: -75 </w:t>
      </w:r>
      <w:proofErr w:type="spellStart"/>
      <w:r w:rsidRPr="00154A0B">
        <w:rPr>
          <w:b/>
        </w:rPr>
        <w:t>dBm</w:t>
      </w:r>
      <w:proofErr w:type="spellEnd"/>
      <w:r w:rsidRPr="00154A0B">
        <w:rPr>
          <w:b/>
        </w:rPr>
        <w:t>/MHz</w:t>
      </w:r>
    </w:p>
    <w:p w14:paraId="6C566AD2" w14:textId="05FFB099" w:rsidR="00154A0B" w:rsidRPr="00154A0B" w:rsidRDefault="00154A0B" w:rsidP="00154A0B">
      <w:pPr>
        <w:pStyle w:val="ListParagraph"/>
        <w:numPr>
          <w:ilvl w:val="0"/>
          <w:numId w:val="30"/>
        </w:numPr>
        <w:spacing w:after="0"/>
        <w:rPr>
          <w:b/>
        </w:rPr>
      </w:pPr>
      <w:r w:rsidRPr="00154A0B">
        <w:rPr>
          <w:b/>
        </w:rPr>
        <w:t>1608≤ f ≤ 1610</w:t>
      </w:r>
      <w:r w:rsidRPr="00154A0B">
        <w:rPr>
          <w:b/>
        </w:rPr>
        <w:tab/>
        <w:t>: -75 + 5/2 (f-1608)</w:t>
      </w:r>
      <w:r w:rsidRPr="00154A0B">
        <w:rPr>
          <w:b/>
        </w:rPr>
        <w:tab/>
      </w:r>
      <w:proofErr w:type="spellStart"/>
      <w:r w:rsidRPr="00154A0B">
        <w:rPr>
          <w:b/>
        </w:rPr>
        <w:t>dBm</w:t>
      </w:r>
      <w:proofErr w:type="spellEnd"/>
      <w:r w:rsidRPr="00154A0B">
        <w:rPr>
          <w:b/>
        </w:rPr>
        <w:t>/MHz</w:t>
      </w:r>
    </w:p>
    <w:p w14:paraId="4A4CFA0B" w14:textId="2088A0D7" w:rsidR="00154A0B" w:rsidRPr="00154A0B" w:rsidRDefault="00154A0B" w:rsidP="00154A0B">
      <w:pPr>
        <w:pStyle w:val="ListParagraph"/>
        <w:numPr>
          <w:ilvl w:val="0"/>
          <w:numId w:val="30"/>
        </w:numPr>
        <w:spacing w:after="0"/>
        <w:rPr>
          <w:b/>
        </w:rPr>
      </w:pPr>
      <w:r w:rsidRPr="00154A0B">
        <w:rPr>
          <w:b/>
        </w:rPr>
        <w:t>1610≤ f ≤ 1627.5: -70+ 57/17.5 (f-1610)</w:t>
      </w:r>
      <w:r w:rsidRPr="00154A0B">
        <w:rPr>
          <w:b/>
        </w:rPr>
        <w:tab/>
        <w:t xml:space="preserve"> </w:t>
      </w:r>
      <w:proofErr w:type="spellStart"/>
      <w:r w:rsidRPr="00154A0B">
        <w:rPr>
          <w:b/>
        </w:rPr>
        <w:t>dBm</w:t>
      </w:r>
      <w:proofErr w:type="spellEnd"/>
      <w:r w:rsidRPr="00154A0B">
        <w:rPr>
          <w:b/>
        </w:rPr>
        <w:t>/MHz</w:t>
      </w:r>
    </w:p>
    <w:p w14:paraId="0621464D" w14:textId="0578F38B" w:rsidR="00154A0B" w:rsidRPr="00154A0B" w:rsidRDefault="00154A0B" w:rsidP="00154A0B">
      <w:pPr>
        <w:pStyle w:val="ListParagraph"/>
        <w:numPr>
          <w:ilvl w:val="0"/>
          <w:numId w:val="30"/>
        </w:numPr>
        <w:spacing w:after="0"/>
        <w:rPr>
          <w:b/>
        </w:rPr>
      </w:pPr>
      <w:r w:rsidRPr="00154A0B">
        <w:rPr>
          <w:b/>
        </w:rPr>
        <w:t xml:space="preserve">1627.5: -37 </w:t>
      </w:r>
      <w:proofErr w:type="spellStart"/>
      <w:r w:rsidRPr="00154A0B">
        <w:rPr>
          <w:b/>
        </w:rPr>
        <w:t>dBm</w:t>
      </w:r>
      <w:proofErr w:type="spellEnd"/>
      <w:r w:rsidRPr="00154A0B">
        <w:rPr>
          <w:b/>
        </w:rPr>
        <w:t>/4kHz</w:t>
      </w:r>
    </w:p>
    <w:p w14:paraId="4592A455" w14:textId="3F8F9EAE" w:rsidR="00154A0B" w:rsidRPr="00154A0B" w:rsidRDefault="00154A0B" w:rsidP="00154A0B">
      <w:pPr>
        <w:pStyle w:val="ListParagraph"/>
        <w:numPr>
          <w:ilvl w:val="0"/>
          <w:numId w:val="30"/>
        </w:numPr>
        <w:spacing w:after="0"/>
        <w:rPr>
          <w:b/>
        </w:rPr>
      </w:pPr>
      <w:r w:rsidRPr="00154A0B">
        <w:rPr>
          <w:b/>
        </w:rPr>
        <w:t>1638.5 ≤f ≤ 1645.5</w:t>
      </w:r>
      <w:r w:rsidRPr="00154A0B">
        <w:rPr>
          <w:b/>
        </w:rPr>
        <w:tab/>
        <w:t xml:space="preserve">: -28 </w:t>
      </w:r>
      <w:proofErr w:type="spellStart"/>
      <w:r w:rsidRPr="00154A0B">
        <w:rPr>
          <w:b/>
        </w:rPr>
        <w:t>dBm</w:t>
      </w:r>
      <w:proofErr w:type="spellEnd"/>
      <w:r w:rsidRPr="00154A0B">
        <w:rPr>
          <w:b/>
        </w:rPr>
        <w:t>/4kHz</w:t>
      </w:r>
    </w:p>
    <w:p w14:paraId="22F21475" w14:textId="77777777" w:rsidR="00154A0B" w:rsidRDefault="00154A0B" w:rsidP="00827057">
      <w:pPr>
        <w:pStyle w:val="ListParagraph"/>
        <w:numPr>
          <w:ilvl w:val="0"/>
          <w:numId w:val="30"/>
        </w:numPr>
        <w:spacing w:after="0"/>
        <w:rPr>
          <w:b/>
        </w:rPr>
      </w:pPr>
      <w:r w:rsidRPr="00154A0B">
        <w:rPr>
          <w:b/>
        </w:rPr>
        <w:t xml:space="preserve">1657.5 ≤f ≤ 1660.5: -28 </w:t>
      </w:r>
      <w:proofErr w:type="spellStart"/>
      <w:r w:rsidRPr="00154A0B">
        <w:rPr>
          <w:b/>
        </w:rPr>
        <w:t>dBm</w:t>
      </w:r>
      <w:proofErr w:type="spellEnd"/>
      <w:r w:rsidRPr="00154A0B">
        <w:rPr>
          <w:b/>
        </w:rPr>
        <w:t>/4kHz</w:t>
      </w:r>
    </w:p>
    <w:p w14:paraId="00928448" w14:textId="6F9F6F33" w:rsidR="00B82A8C" w:rsidRPr="009A7D8C" w:rsidRDefault="00154A0B" w:rsidP="009A7D8C">
      <w:pPr>
        <w:pStyle w:val="ListParagraph"/>
        <w:numPr>
          <w:ilvl w:val="0"/>
          <w:numId w:val="43"/>
        </w:numPr>
        <w:spacing w:after="0"/>
        <w:rPr>
          <w:b/>
        </w:rPr>
      </w:pPr>
      <w:r>
        <w:t xml:space="preserve">Based on the requirement analysis, only the 1MHz and </w:t>
      </w:r>
      <w:proofErr w:type="gramStart"/>
      <w:r>
        <w:t>4kHz</w:t>
      </w:r>
      <w:proofErr w:type="gramEnd"/>
      <w:r>
        <w:t xml:space="preserve"> measurement bandwidth cases have been measured (bold)</w:t>
      </w:r>
      <w:r w:rsidR="009A7D8C">
        <w:t>.</w:t>
      </w:r>
    </w:p>
    <w:p w14:paraId="35F96770" w14:textId="77777777" w:rsidR="00011A00" w:rsidRDefault="00011A00" w:rsidP="00011A00">
      <w:pPr>
        <w:spacing w:after="0"/>
        <w:rPr>
          <w:b/>
        </w:rPr>
      </w:pPr>
    </w:p>
    <w:p w14:paraId="70369931" w14:textId="4146DABB" w:rsidR="00102B32" w:rsidRDefault="00011A00" w:rsidP="00011A00">
      <w:pPr>
        <w:spacing w:after="0"/>
      </w:pPr>
      <w:r w:rsidRPr="00011A00">
        <w:t>From the filter specification and the emission requirement equations, we can derive an emission specification versus frequency directly at the PA output. This is shown in Table 1 which also shows which IMD/ACLR regions fall in the frequency domain for 1RB and full allocation respectively</w:t>
      </w:r>
      <w:r w:rsidR="009A7D8C">
        <w:t xml:space="preserve"> where:</w:t>
      </w:r>
    </w:p>
    <w:p w14:paraId="76660556" w14:textId="24956DAD" w:rsidR="00102B32" w:rsidRDefault="00102B32" w:rsidP="00102B32">
      <w:pPr>
        <w:pStyle w:val="ListParagraph"/>
        <w:numPr>
          <w:ilvl w:val="0"/>
          <w:numId w:val="36"/>
        </w:numPr>
        <w:spacing w:after="0"/>
      </w:pPr>
      <w:r>
        <w:t>4</w:t>
      </w:r>
      <w:r w:rsidRPr="00102B32">
        <w:rPr>
          <w:vertAlign w:val="superscript"/>
        </w:rPr>
        <w:t>th</w:t>
      </w:r>
      <w:r>
        <w:t xml:space="preserve"> column provides the emission level limit at PA output with a -34.7dBm/MHz worst case (highlighted in red) at 1617MHz (10.5MHz from band edge)</w:t>
      </w:r>
    </w:p>
    <w:p w14:paraId="1234EE2F" w14:textId="0251DB4C" w:rsidR="00102B32" w:rsidRDefault="00102B32" w:rsidP="00102B32">
      <w:pPr>
        <w:pStyle w:val="ListParagraph"/>
        <w:numPr>
          <w:ilvl w:val="0"/>
          <w:numId w:val="36"/>
        </w:numPr>
        <w:spacing w:after="0"/>
      </w:pPr>
      <w:r>
        <w:t>5</w:t>
      </w:r>
      <w:r w:rsidRPr="00102B32">
        <w:rPr>
          <w:vertAlign w:val="superscript"/>
        </w:rPr>
        <w:t>th</w:t>
      </w:r>
      <w:r>
        <w:t xml:space="preserve"> and 4</w:t>
      </w:r>
      <w:r w:rsidRPr="00102B32">
        <w:rPr>
          <w:vertAlign w:val="superscript"/>
        </w:rPr>
        <w:t>th</w:t>
      </w:r>
      <w:r>
        <w:t xml:space="preserve"> column shows the SEM requirement for 5 MHZ and 10 MHz channels respectively, the green zone is where the </w:t>
      </w:r>
      <w:r w:rsidR="007F0F0F">
        <w:t xml:space="preserve">NR </w:t>
      </w:r>
      <w:r>
        <w:t>SEM</w:t>
      </w:r>
      <w:r w:rsidR="007F0F0F">
        <w:t xml:space="preserve"> specification</w:t>
      </w:r>
      <w:r>
        <w:t xml:space="preserve"> </w:t>
      </w:r>
      <w:r w:rsidR="007F0F0F">
        <w:t>is more stringent than the n24 AMPR requirement (it accounts for the 4dB post PA losses)</w:t>
      </w:r>
    </w:p>
    <w:p w14:paraId="2DDC9521" w14:textId="1933F8E9" w:rsidR="007F0F0F" w:rsidRDefault="007F0F0F" w:rsidP="00102B32">
      <w:pPr>
        <w:pStyle w:val="ListParagraph"/>
        <w:numPr>
          <w:ilvl w:val="0"/>
          <w:numId w:val="36"/>
        </w:numPr>
        <w:spacing w:after="0"/>
      </w:pPr>
      <w:r>
        <w:t>6</w:t>
      </w:r>
      <w:r w:rsidRPr="007F0F0F">
        <w:rPr>
          <w:vertAlign w:val="superscript"/>
        </w:rPr>
        <w:t>th</w:t>
      </w:r>
      <w:r>
        <w:t xml:space="preserve"> and 7</w:t>
      </w:r>
      <w:r w:rsidRPr="007F0F0F">
        <w:rPr>
          <w:vertAlign w:val="superscript"/>
        </w:rPr>
        <w:t>th</w:t>
      </w:r>
      <w:r>
        <w:t xml:space="preserve"> columns show for 5MHz and 10MHz channels respectively:</w:t>
      </w:r>
    </w:p>
    <w:p w14:paraId="01C7434D" w14:textId="5FA9F406" w:rsidR="007F0F0F" w:rsidRDefault="007F0F0F" w:rsidP="007F0F0F">
      <w:pPr>
        <w:pStyle w:val="ListParagraph"/>
        <w:numPr>
          <w:ilvl w:val="1"/>
          <w:numId w:val="36"/>
        </w:numPr>
        <w:spacing w:after="0"/>
      </w:pPr>
      <w:r>
        <w:t>Which IMD of the 1RB allocation with the LO falls in a given frequency range</w:t>
      </w:r>
    </w:p>
    <w:p w14:paraId="2C141403" w14:textId="77777777" w:rsidR="007F0F0F" w:rsidRDefault="007F0F0F" w:rsidP="007F0F0F">
      <w:pPr>
        <w:pStyle w:val="ListParagraph"/>
        <w:numPr>
          <w:ilvl w:val="1"/>
          <w:numId w:val="36"/>
        </w:numPr>
        <w:spacing w:after="0"/>
      </w:pPr>
      <w:r>
        <w:t>Which ACLR region of the full allocation falls in a given frequency range</w:t>
      </w:r>
    </w:p>
    <w:p w14:paraId="3C568E9D" w14:textId="47E4A513" w:rsidR="007F0F0F" w:rsidRDefault="007F0F0F" w:rsidP="007F0F0F">
      <w:pPr>
        <w:pStyle w:val="ListParagraph"/>
        <w:numPr>
          <w:ilvl w:val="1"/>
          <w:numId w:val="36"/>
        </w:numPr>
        <w:spacing w:after="0"/>
      </w:pPr>
      <w:r>
        <w:t>What is the worst case emission to be met in that region</w:t>
      </w:r>
    </w:p>
    <w:p w14:paraId="299DAD8F" w14:textId="41151A91" w:rsidR="007F0F0F" w:rsidRDefault="007F0F0F" w:rsidP="007F0F0F">
      <w:pPr>
        <w:spacing w:after="0"/>
      </w:pPr>
      <w:r>
        <w:t xml:space="preserve">Given that the requirements in </w:t>
      </w:r>
      <w:proofErr w:type="gramStart"/>
      <w:r>
        <w:t>4kHz</w:t>
      </w:r>
      <w:proofErr w:type="gramEnd"/>
      <w:r>
        <w:t xml:space="preserve"> measurement BW, </w:t>
      </w:r>
      <w:r w:rsidR="009A7D8C">
        <w:t>experience</w:t>
      </w:r>
      <w:r>
        <w:t xml:space="preserve"> no attenuation from the filter, it can also be compared directly at the PA output by accounting for the 4dB post PA losses. This allows providing the measurement results in the next chapters directly as a margin in </w:t>
      </w:r>
      <w:proofErr w:type="spellStart"/>
      <w:r>
        <w:t>dB.</w:t>
      </w:r>
      <w:proofErr w:type="spellEnd"/>
    </w:p>
    <w:p w14:paraId="61B64FBD" w14:textId="77777777" w:rsidR="00102B32" w:rsidRDefault="00102B32" w:rsidP="00011A00">
      <w:pPr>
        <w:spacing w:after="0"/>
      </w:pPr>
    </w:p>
    <w:p w14:paraId="4537EC4F" w14:textId="414EA7E6" w:rsidR="00102B32" w:rsidRDefault="00102B32" w:rsidP="00102B32">
      <w:pPr>
        <w:pStyle w:val="Caption"/>
        <w:keepNext/>
        <w:jc w:val="center"/>
      </w:pPr>
      <w:r>
        <w:lastRenderedPageBreak/>
        <w:t xml:space="preserve">Table </w:t>
      </w:r>
      <w:r w:rsidR="009C0E9B">
        <w:fldChar w:fldCharType="begin"/>
      </w:r>
      <w:r w:rsidR="009C0E9B">
        <w:instrText xml:space="preserve"> SEQ Table \* ARABIC </w:instrText>
      </w:r>
      <w:r w:rsidR="009C0E9B">
        <w:fldChar w:fldCharType="separate"/>
      </w:r>
      <w:r w:rsidR="00633A4B">
        <w:rPr>
          <w:noProof/>
        </w:rPr>
        <w:t>1</w:t>
      </w:r>
      <w:r w:rsidR="009C0E9B">
        <w:rPr>
          <w:noProof/>
        </w:rPr>
        <w:fldChar w:fldCharType="end"/>
      </w:r>
      <w:r>
        <w:t>: Emission requirements at PA output and related SEM/ACLR and IMD regions</w:t>
      </w:r>
    </w:p>
    <w:tbl>
      <w:tblPr>
        <w:tblW w:w="5785" w:type="dxa"/>
        <w:jc w:val="center"/>
        <w:tblInd w:w="93" w:type="dxa"/>
        <w:tblLook w:val="04A0" w:firstRow="1" w:lastRow="0" w:firstColumn="1" w:lastColumn="0" w:noHBand="0" w:noVBand="1"/>
      </w:tblPr>
      <w:tblGrid>
        <w:gridCol w:w="800"/>
        <w:gridCol w:w="882"/>
        <w:gridCol w:w="528"/>
        <w:gridCol w:w="827"/>
        <w:gridCol w:w="627"/>
        <w:gridCol w:w="678"/>
        <w:gridCol w:w="1085"/>
        <w:gridCol w:w="1014"/>
      </w:tblGrid>
      <w:tr w:rsidR="00204408" w:rsidRPr="00204408" w14:paraId="790DD6A2" w14:textId="77777777" w:rsidTr="00204408">
        <w:trPr>
          <w:trHeight w:val="467"/>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18318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proofErr w:type="spellStart"/>
            <w:r w:rsidRPr="00204408">
              <w:rPr>
                <w:rFonts w:ascii="Calibri" w:hAnsi="Calibri"/>
                <w:color w:val="000000"/>
                <w:sz w:val="16"/>
                <w:szCs w:val="16"/>
              </w:rPr>
              <w:t>Meas</w:t>
            </w:r>
            <w:proofErr w:type="spellEnd"/>
            <w:r w:rsidRPr="00204408">
              <w:rPr>
                <w:rFonts w:ascii="Calibri" w:hAnsi="Calibri"/>
                <w:color w:val="000000"/>
                <w:sz w:val="16"/>
                <w:szCs w:val="16"/>
              </w:rPr>
              <w:br/>
            </w:r>
            <w:proofErr w:type="spellStart"/>
            <w:r w:rsidRPr="00204408">
              <w:rPr>
                <w:rFonts w:ascii="Calibri" w:hAnsi="Calibri"/>
                <w:color w:val="000000"/>
                <w:sz w:val="16"/>
                <w:szCs w:val="16"/>
              </w:rPr>
              <w:t>Freq</w:t>
            </w:r>
            <w:proofErr w:type="spellEnd"/>
            <w:r w:rsidRPr="00204408">
              <w:rPr>
                <w:rFonts w:ascii="Calibri" w:hAnsi="Calibri"/>
                <w:color w:val="000000"/>
                <w:sz w:val="16"/>
                <w:szCs w:val="16"/>
              </w:rPr>
              <w:br/>
              <w:t>[MHz]</w:t>
            </w:r>
          </w:p>
        </w:tc>
        <w:tc>
          <w:tcPr>
            <w:tcW w:w="882" w:type="dxa"/>
            <w:tcBorders>
              <w:top w:val="single" w:sz="4" w:space="0" w:color="auto"/>
              <w:left w:val="nil"/>
              <w:bottom w:val="single" w:sz="4" w:space="0" w:color="auto"/>
              <w:right w:val="single" w:sz="4" w:space="0" w:color="auto"/>
            </w:tcBorders>
            <w:shd w:val="clear" w:color="auto" w:fill="auto"/>
            <w:vAlign w:val="bottom"/>
            <w:hideMark/>
          </w:tcPr>
          <w:p w14:paraId="4C3113D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Ant PSD</w:t>
            </w:r>
            <w:r w:rsidRPr="00204408">
              <w:rPr>
                <w:rFonts w:ascii="Calibri" w:hAnsi="Calibri"/>
                <w:color w:val="000000"/>
                <w:sz w:val="16"/>
                <w:szCs w:val="16"/>
              </w:rPr>
              <w:br/>
              <w:t>spec</w:t>
            </w:r>
            <w:r w:rsidRPr="00204408">
              <w:rPr>
                <w:rFonts w:ascii="Calibri" w:hAnsi="Calibri"/>
                <w:color w:val="000000"/>
                <w:sz w:val="16"/>
                <w:szCs w:val="16"/>
              </w:rPr>
              <w:br/>
              <w:t>[</w:t>
            </w:r>
            <w:proofErr w:type="spellStart"/>
            <w:r w:rsidRPr="00204408">
              <w:rPr>
                <w:rFonts w:ascii="Calibri" w:hAnsi="Calibri"/>
                <w:color w:val="000000"/>
                <w:sz w:val="16"/>
                <w:szCs w:val="16"/>
              </w:rPr>
              <w:t>dBm</w:t>
            </w:r>
            <w:proofErr w:type="spellEnd"/>
            <w:r w:rsidRPr="00204408">
              <w:rPr>
                <w:rFonts w:ascii="Calibri" w:hAnsi="Calibri"/>
                <w:color w:val="000000"/>
                <w:sz w:val="16"/>
                <w:szCs w:val="16"/>
              </w:rPr>
              <w:br/>
              <w:t>/MHz]</w:t>
            </w:r>
          </w:p>
        </w:tc>
        <w:tc>
          <w:tcPr>
            <w:tcW w:w="528" w:type="dxa"/>
            <w:tcBorders>
              <w:top w:val="single" w:sz="4" w:space="0" w:color="auto"/>
              <w:left w:val="nil"/>
              <w:bottom w:val="single" w:sz="4" w:space="0" w:color="auto"/>
              <w:right w:val="single" w:sz="4" w:space="0" w:color="auto"/>
            </w:tcBorders>
            <w:shd w:val="clear" w:color="auto" w:fill="auto"/>
            <w:vAlign w:val="bottom"/>
            <w:hideMark/>
          </w:tcPr>
          <w:p w14:paraId="11D3B684" w14:textId="77777777" w:rsidR="00204408" w:rsidRPr="00204408" w:rsidRDefault="00204408" w:rsidP="00204408">
            <w:pPr>
              <w:overflowPunct/>
              <w:autoSpaceDE/>
              <w:autoSpaceDN/>
              <w:adjustRightInd/>
              <w:spacing w:after="0"/>
              <w:textAlignment w:val="auto"/>
              <w:rPr>
                <w:rFonts w:ascii="Calibri" w:hAnsi="Calibri"/>
                <w:color w:val="000000"/>
                <w:sz w:val="16"/>
                <w:szCs w:val="16"/>
              </w:rPr>
            </w:pPr>
            <w:proofErr w:type="gramStart"/>
            <w:r w:rsidRPr="00204408">
              <w:rPr>
                <w:rFonts w:ascii="Calibri" w:hAnsi="Calibri"/>
                <w:color w:val="000000"/>
                <w:sz w:val="16"/>
                <w:szCs w:val="16"/>
              </w:rPr>
              <w:t>filter</w:t>
            </w:r>
            <w:proofErr w:type="gramEnd"/>
            <w:r w:rsidRPr="00204408">
              <w:rPr>
                <w:rFonts w:ascii="Calibri" w:hAnsi="Calibri"/>
                <w:color w:val="000000"/>
                <w:sz w:val="16"/>
                <w:szCs w:val="16"/>
              </w:rPr>
              <w:br/>
            </w:r>
            <w:proofErr w:type="spellStart"/>
            <w:r w:rsidRPr="00204408">
              <w:rPr>
                <w:rFonts w:ascii="Calibri" w:hAnsi="Calibri"/>
                <w:color w:val="000000"/>
                <w:sz w:val="16"/>
                <w:szCs w:val="16"/>
              </w:rPr>
              <w:t>Rej</w:t>
            </w:r>
            <w:proofErr w:type="spellEnd"/>
            <w:r w:rsidRPr="00204408">
              <w:rPr>
                <w:rFonts w:ascii="Calibri" w:hAnsi="Calibri"/>
                <w:color w:val="000000"/>
                <w:sz w:val="16"/>
                <w:szCs w:val="16"/>
              </w:rPr>
              <w:t>.</w:t>
            </w:r>
            <w:r w:rsidRPr="00204408">
              <w:rPr>
                <w:rFonts w:ascii="Calibri" w:hAnsi="Calibri"/>
                <w:color w:val="000000"/>
                <w:sz w:val="16"/>
                <w:szCs w:val="16"/>
              </w:rPr>
              <w:br/>
              <w:t>[dB]</w:t>
            </w:r>
          </w:p>
        </w:tc>
        <w:tc>
          <w:tcPr>
            <w:tcW w:w="827" w:type="dxa"/>
            <w:tcBorders>
              <w:top w:val="single" w:sz="4" w:space="0" w:color="auto"/>
              <w:left w:val="nil"/>
              <w:bottom w:val="single" w:sz="4" w:space="0" w:color="auto"/>
              <w:right w:val="single" w:sz="4" w:space="0" w:color="auto"/>
            </w:tcBorders>
            <w:shd w:val="clear" w:color="auto" w:fill="auto"/>
            <w:vAlign w:val="bottom"/>
            <w:hideMark/>
          </w:tcPr>
          <w:p w14:paraId="020DA66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PA PSD</w:t>
            </w:r>
            <w:r w:rsidRPr="00204408">
              <w:rPr>
                <w:rFonts w:ascii="Calibri" w:hAnsi="Calibri"/>
                <w:color w:val="000000"/>
                <w:sz w:val="16"/>
                <w:szCs w:val="16"/>
              </w:rPr>
              <w:br/>
              <w:t>spec</w:t>
            </w:r>
            <w:r w:rsidRPr="00204408">
              <w:rPr>
                <w:rFonts w:ascii="Calibri" w:hAnsi="Calibri"/>
                <w:color w:val="000000"/>
                <w:sz w:val="16"/>
                <w:szCs w:val="16"/>
              </w:rPr>
              <w:br/>
              <w:t>[</w:t>
            </w:r>
            <w:proofErr w:type="spellStart"/>
            <w:r w:rsidRPr="00204408">
              <w:rPr>
                <w:rFonts w:ascii="Calibri" w:hAnsi="Calibri"/>
                <w:color w:val="000000"/>
                <w:sz w:val="16"/>
                <w:szCs w:val="16"/>
              </w:rPr>
              <w:t>dBm</w:t>
            </w:r>
            <w:proofErr w:type="spellEnd"/>
            <w:r w:rsidRPr="00204408">
              <w:rPr>
                <w:rFonts w:ascii="Calibri" w:hAnsi="Calibri"/>
                <w:color w:val="000000"/>
                <w:sz w:val="16"/>
                <w:szCs w:val="16"/>
              </w:rPr>
              <w:br/>
              <w:t>/MHz]</w:t>
            </w:r>
          </w:p>
        </w:tc>
        <w:tc>
          <w:tcPr>
            <w:tcW w:w="627" w:type="dxa"/>
            <w:tcBorders>
              <w:top w:val="single" w:sz="4" w:space="0" w:color="auto"/>
              <w:left w:val="nil"/>
              <w:bottom w:val="single" w:sz="4" w:space="0" w:color="auto"/>
              <w:right w:val="single" w:sz="4" w:space="0" w:color="auto"/>
            </w:tcBorders>
            <w:shd w:val="clear" w:color="auto" w:fill="auto"/>
            <w:vAlign w:val="bottom"/>
            <w:hideMark/>
          </w:tcPr>
          <w:p w14:paraId="60B52C4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5MHz</w:t>
            </w:r>
            <w:r w:rsidRPr="00204408">
              <w:rPr>
                <w:rFonts w:ascii="Calibri" w:hAnsi="Calibri"/>
                <w:color w:val="000000"/>
                <w:sz w:val="16"/>
                <w:szCs w:val="16"/>
              </w:rPr>
              <w:br/>
              <w:t>SEM</w:t>
            </w:r>
            <w:r w:rsidRPr="00204408">
              <w:rPr>
                <w:rFonts w:ascii="Calibri" w:hAnsi="Calibri"/>
                <w:color w:val="000000"/>
                <w:sz w:val="16"/>
                <w:szCs w:val="16"/>
              </w:rPr>
              <w:br/>
              <w:t>[</w:t>
            </w:r>
            <w:proofErr w:type="spellStart"/>
            <w:r w:rsidRPr="00204408">
              <w:rPr>
                <w:rFonts w:ascii="Calibri" w:hAnsi="Calibri"/>
                <w:color w:val="000000"/>
                <w:sz w:val="16"/>
                <w:szCs w:val="16"/>
              </w:rPr>
              <w:t>dBm</w:t>
            </w:r>
            <w:proofErr w:type="spellEnd"/>
            <w:r w:rsidRPr="00204408">
              <w:rPr>
                <w:rFonts w:ascii="Calibri" w:hAnsi="Calibri"/>
                <w:color w:val="000000"/>
                <w:sz w:val="16"/>
                <w:szCs w:val="16"/>
              </w:rPr>
              <w:br/>
              <w:t>/MHz]</w:t>
            </w:r>
          </w:p>
        </w:tc>
        <w:tc>
          <w:tcPr>
            <w:tcW w:w="678" w:type="dxa"/>
            <w:tcBorders>
              <w:top w:val="single" w:sz="4" w:space="0" w:color="auto"/>
              <w:left w:val="nil"/>
              <w:bottom w:val="single" w:sz="4" w:space="0" w:color="auto"/>
              <w:right w:val="single" w:sz="4" w:space="0" w:color="auto"/>
            </w:tcBorders>
            <w:shd w:val="clear" w:color="auto" w:fill="auto"/>
            <w:vAlign w:val="bottom"/>
            <w:hideMark/>
          </w:tcPr>
          <w:p w14:paraId="216FC95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10MHz</w:t>
            </w:r>
            <w:r w:rsidRPr="00204408">
              <w:rPr>
                <w:rFonts w:ascii="Calibri" w:hAnsi="Calibri"/>
                <w:color w:val="000000"/>
                <w:sz w:val="16"/>
                <w:szCs w:val="16"/>
              </w:rPr>
              <w:br/>
              <w:t>SEM</w:t>
            </w:r>
            <w:r w:rsidRPr="00204408">
              <w:rPr>
                <w:rFonts w:ascii="Calibri" w:hAnsi="Calibri"/>
                <w:color w:val="000000"/>
                <w:sz w:val="16"/>
                <w:szCs w:val="16"/>
              </w:rPr>
              <w:br/>
              <w:t>[</w:t>
            </w:r>
            <w:proofErr w:type="spellStart"/>
            <w:r w:rsidRPr="00204408">
              <w:rPr>
                <w:rFonts w:ascii="Calibri" w:hAnsi="Calibri"/>
                <w:color w:val="000000"/>
                <w:sz w:val="16"/>
                <w:szCs w:val="16"/>
              </w:rPr>
              <w:t>dBm</w:t>
            </w:r>
            <w:proofErr w:type="spellEnd"/>
            <w:r w:rsidRPr="00204408">
              <w:rPr>
                <w:rFonts w:ascii="Calibri" w:hAnsi="Calibri"/>
                <w:color w:val="000000"/>
                <w:sz w:val="16"/>
                <w:szCs w:val="16"/>
              </w:rPr>
              <w:br/>
              <w:t>/MHz]</w:t>
            </w:r>
          </w:p>
        </w:tc>
        <w:tc>
          <w:tcPr>
            <w:tcW w:w="1443" w:type="dxa"/>
            <w:gridSpan w:val="2"/>
            <w:tcBorders>
              <w:top w:val="single" w:sz="4" w:space="0" w:color="auto"/>
              <w:left w:val="nil"/>
              <w:bottom w:val="single" w:sz="4" w:space="0" w:color="auto"/>
              <w:right w:val="single" w:sz="4" w:space="0" w:color="auto"/>
            </w:tcBorders>
            <w:shd w:val="clear" w:color="auto" w:fill="auto"/>
            <w:hideMark/>
          </w:tcPr>
          <w:p w14:paraId="588B74D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1RB+LO IMD</w:t>
            </w:r>
            <w:r w:rsidRPr="00204408">
              <w:rPr>
                <w:rFonts w:ascii="Calibri" w:hAnsi="Calibri"/>
                <w:color w:val="000000"/>
                <w:sz w:val="16"/>
                <w:szCs w:val="16"/>
              </w:rPr>
              <w:br/>
              <w:t>Full ACLR</w:t>
            </w:r>
            <w:r w:rsidRPr="00204408">
              <w:rPr>
                <w:rFonts w:ascii="Calibri" w:hAnsi="Calibri"/>
                <w:color w:val="000000"/>
                <w:sz w:val="16"/>
                <w:szCs w:val="16"/>
              </w:rPr>
              <w:br/>
              <w:t>WC emission</w:t>
            </w:r>
            <w:r w:rsidRPr="00204408">
              <w:rPr>
                <w:rFonts w:ascii="Calibri" w:hAnsi="Calibri"/>
                <w:color w:val="000000"/>
                <w:sz w:val="16"/>
                <w:szCs w:val="16"/>
              </w:rPr>
              <w:br/>
              <w:t>[</w:t>
            </w:r>
            <w:proofErr w:type="spellStart"/>
            <w:r w:rsidRPr="00204408">
              <w:rPr>
                <w:rFonts w:ascii="Calibri" w:hAnsi="Calibri"/>
                <w:color w:val="000000"/>
                <w:sz w:val="16"/>
                <w:szCs w:val="16"/>
              </w:rPr>
              <w:t>dBm</w:t>
            </w:r>
            <w:proofErr w:type="spellEnd"/>
            <w:r w:rsidRPr="00204408">
              <w:rPr>
                <w:rFonts w:ascii="Calibri" w:hAnsi="Calibri"/>
                <w:color w:val="000000"/>
                <w:sz w:val="16"/>
                <w:szCs w:val="16"/>
              </w:rPr>
              <w:t>/MHz]</w:t>
            </w:r>
          </w:p>
        </w:tc>
      </w:tr>
      <w:tr w:rsidR="00204408" w:rsidRPr="00204408" w14:paraId="45DD880C"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22EFFB1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1606</w:t>
            </w:r>
          </w:p>
        </w:tc>
        <w:tc>
          <w:tcPr>
            <w:tcW w:w="882" w:type="dxa"/>
            <w:tcBorders>
              <w:top w:val="nil"/>
              <w:left w:val="nil"/>
              <w:bottom w:val="single" w:sz="4" w:space="0" w:color="auto"/>
              <w:right w:val="single" w:sz="4" w:space="0" w:color="auto"/>
            </w:tcBorders>
            <w:shd w:val="clear" w:color="auto" w:fill="auto"/>
            <w:noWrap/>
            <w:vAlign w:val="center"/>
            <w:hideMark/>
          </w:tcPr>
          <w:p w14:paraId="6B806D1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-75.0</w:t>
            </w:r>
          </w:p>
        </w:tc>
        <w:tc>
          <w:tcPr>
            <w:tcW w:w="528" w:type="dxa"/>
            <w:tcBorders>
              <w:top w:val="nil"/>
              <w:left w:val="nil"/>
              <w:bottom w:val="single" w:sz="4" w:space="0" w:color="auto"/>
              <w:right w:val="single" w:sz="4" w:space="0" w:color="auto"/>
            </w:tcBorders>
            <w:shd w:val="clear" w:color="auto" w:fill="auto"/>
            <w:noWrap/>
            <w:vAlign w:val="center"/>
            <w:hideMark/>
          </w:tcPr>
          <w:p w14:paraId="38E69726"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41</w:t>
            </w:r>
          </w:p>
        </w:tc>
        <w:tc>
          <w:tcPr>
            <w:tcW w:w="827" w:type="dxa"/>
            <w:tcBorders>
              <w:top w:val="nil"/>
              <w:left w:val="nil"/>
              <w:bottom w:val="single" w:sz="4" w:space="0" w:color="auto"/>
              <w:right w:val="single" w:sz="4" w:space="0" w:color="auto"/>
            </w:tcBorders>
            <w:shd w:val="clear" w:color="auto" w:fill="auto"/>
            <w:noWrap/>
            <w:vAlign w:val="center"/>
            <w:hideMark/>
          </w:tcPr>
          <w:p w14:paraId="01416DD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-34.0</w:t>
            </w:r>
          </w:p>
        </w:tc>
        <w:tc>
          <w:tcPr>
            <w:tcW w:w="627" w:type="dxa"/>
            <w:tcBorders>
              <w:top w:val="nil"/>
              <w:left w:val="nil"/>
              <w:bottom w:val="single" w:sz="4" w:space="0" w:color="auto"/>
              <w:right w:val="single" w:sz="4" w:space="0" w:color="auto"/>
            </w:tcBorders>
            <w:shd w:val="clear" w:color="auto" w:fill="auto"/>
            <w:noWrap/>
            <w:vAlign w:val="center"/>
            <w:hideMark/>
          </w:tcPr>
          <w:p w14:paraId="461F8D3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4378AAE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734" w:type="dxa"/>
            <w:tcBorders>
              <w:top w:val="nil"/>
              <w:left w:val="nil"/>
              <w:bottom w:val="single" w:sz="4" w:space="0" w:color="auto"/>
              <w:right w:val="single" w:sz="4" w:space="0" w:color="auto"/>
            </w:tcBorders>
            <w:shd w:val="clear" w:color="auto" w:fill="auto"/>
            <w:noWrap/>
            <w:hideMark/>
          </w:tcPr>
          <w:p w14:paraId="074243C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5MHz</w:t>
            </w:r>
          </w:p>
        </w:tc>
        <w:tc>
          <w:tcPr>
            <w:tcW w:w="709" w:type="dxa"/>
            <w:tcBorders>
              <w:top w:val="nil"/>
              <w:left w:val="nil"/>
              <w:bottom w:val="single" w:sz="4" w:space="0" w:color="auto"/>
              <w:right w:val="single" w:sz="4" w:space="0" w:color="auto"/>
            </w:tcBorders>
            <w:shd w:val="clear" w:color="auto" w:fill="auto"/>
            <w:noWrap/>
            <w:hideMark/>
          </w:tcPr>
          <w:p w14:paraId="142E0E0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10MHz</w:t>
            </w:r>
          </w:p>
        </w:tc>
      </w:tr>
      <w:tr w:rsidR="00204408" w:rsidRPr="00204408" w14:paraId="13A24DEF"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5EB91C3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1607</w:t>
            </w:r>
          </w:p>
        </w:tc>
        <w:tc>
          <w:tcPr>
            <w:tcW w:w="882" w:type="dxa"/>
            <w:tcBorders>
              <w:top w:val="nil"/>
              <w:left w:val="nil"/>
              <w:bottom w:val="single" w:sz="4" w:space="0" w:color="auto"/>
              <w:right w:val="single" w:sz="4" w:space="0" w:color="auto"/>
            </w:tcBorders>
            <w:shd w:val="clear" w:color="auto" w:fill="auto"/>
            <w:noWrap/>
            <w:vAlign w:val="center"/>
            <w:hideMark/>
          </w:tcPr>
          <w:p w14:paraId="7E7C140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-75.0</w:t>
            </w:r>
          </w:p>
        </w:tc>
        <w:tc>
          <w:tcPr>
            <w:tcW w:w="528" w:type="dxa"/>
            <w:tcBorders>
              <w:top w:val="nil"/>
              <w:left w:val="nil"/>
              <w:bottom w:val="single" w:sz="4" w:space="0" w:color="auto"/>
              <w:right w:val="single" w:sz="4" w:space="0" w:color="auto"/>
            </w:tcBorders>
            <w:shd w:val="clear" w:color="auto" w:fill="auto"/>
            <w:noWrap/>
            <w:vAlign w:val="center"/>
            <w:hideMark/>
          </w:tcPr>
          <w:p w14:paraId="7918B37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41</w:t>
            </w:r>
          </w:p>
        </w:tc>
        <w:tc>
          <w:tcPr>
            <w:tcW w:w="827" w:type="dxa"/>
            <w:tcBorders>
              <w:top w:val="nil"/>
              <w:left w:val="nil"/>
              <w:bottom w:val="single" w:sz="4" w:space="0" w:color="auto"/>
              <w:right w:val="single" w:sz="4" w:space="0" w:color="auto"/>
            </w:tcBorders>
            <w:shd w:val="clear" w:color="auto" w:fill="auto"/>
            <w:noWrap/>
            <w:vAlign w:val="center"/>
            <w:hideMark/>
          </w:tcPr>
          <w:p w14:paraId="43A9F08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-34.0</w:t>
            </w:r>
          </w:p>
        </w:tc>
        <w:tc>
          <w:tcPr>
            <w:tcW w:w="627" w:type="dxa"/>
            <w:tcBorders>
              <w:top w:val="nil"/>
              <w:left w:val="nil"/>
              <w:bottom w:val="single" w:sz="4" w:space="0" w:color="auto"/>
              <w:right w:val="single" w:sz="4" w:space="0" w:color="auto"/>
            </w:tcBorders>
            <w:shd w:val="clear" w:color="auto" w:fill="auto"/>
            <w:noWrap/>
            <w:vAlign w:val="center"/>
            <w:hideMark/>
          </w:tcPr>
          <w:p w14:paraId="697CBD6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717B4D9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14:paraId="225CA201" w14:textId="2E5DA9C5"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&gt;IMD13</w:t>
            </w:r>
            <w:r>
              <w:rPr>
                <w:rFonts w:ascii="Calibri" w:hAnsi="Calibri"/>
                <w:color w:val="000000"/>
                <w:sz w:val="14"/>
                <w:szCs w:val="16"/>
              </w:rPr>
              <w:t>/</w:t>
            </w:r>
            <w:r w:rsidRPr="00204408">
              <w:rPr>
                <w:rFonts w:ascii="Calibri" w:hAnsi="Calibri"/>
                <w:color w:val="000000"/>
                <w:sz w:val="14"/>
                <w:szCs w:val="16"/>
              </w:rPr>
              <w:t>ACLR3</w:t>
            </w:r>
            <w:r w:rsidRPr="00204408">
              <w:rPr>
                <w:rFonts w:ascii="Calibri" w:hAnsi="Calibri"/>
                <w:color w:val="000000"/>
                <w:sz w:val="14"/>
                <w:szCs w:val="16"/>
              </w:rPr>
              <w:br/>
              <w:t>-34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BFB57D" w14:textId="7D8A45D5"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&gt;IMD9</w:t>
            </w:r>
            <w:r>
              <w:rPr>
                <w:rFonts w:ascii="Calibri" w:hAnsi="Calibri"/>
                <w:color w:val="000000"/>
                <w:sz w:val="14"/>
                <w:szCs w:val="16"/>
              </w:rPr>
              <w:t>/</w:t>
            </w:r>
            <w:r w:rsidRPr="00204408">
              <w:rPr>
                <w:rFonts w:ascii="Calibri" w:hAnsi="Calibri"/>
                <w:color w:val="000000"/>
                <w:sz w:val="14"/>
                <w:szCs w:val="16"/>
              </w:rPr>
              <w:t>ACLR2</w:t>
            </w:r>
            <w:r w:rsidRPr="00204408">
              <w:rPr>
                <w:rFonts w:ascii="Calibri" w:hAnsi="Calibri"/>
                <w:color w:val="000000"/>
                <w:sz w:val="14"/>
                <w:szCs w:val="16"/>
              </w:rPr>
              <w:br/>
              <w:t>-34</w:t>
            </w:r>
          </w:p>
        </w:tc>
      </w:tr>
      <w:tr w:rsidR="00204408" w:rsidRPr="00204408" w14:paraId="2825D22B"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5494954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1608</w:t>
            </w:r>
          </w:p>
        </w:tc>
        <w:tc>
          <w:tcPr>
            <w:tcW w:w="882" w:type="dxa"/>
            <w:tcBorders>
              <w:top w:val="nil"/>
              <w:left w:val="nil"/>
              <w:bottom w:val="single" w:sz="4" w:space="0" w:color="auto"/>
              <w:right w:val="single" w:sz="4" w:space="0" w:color="auto"/>
            </w:tcBorders>
            <w:shd w:val="clear" w:color="auto" w:fill="auto"/>
            <w:noWrap/>
            <w:vAlign w:val="center"/>
            <w:hideMark/>
          </w:tcPr>
          <w:p w14:paraId="632F9B4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-75.0</w:t>
            </w:r>
          </w:p>
        </w:tc>
        <w:tc>
          <w:tcPr>
            <w:tcW w:w="528" w:type="dxa"/>
            <w:tcBorders>
              <w:top w:val="nil"/>
              <w:left w:val="nil"/>
              <w:bottom w:val="single" w:sz="4" w:space="0" w:color="auto"/>
              <w:right w:val="single" w:sz="4" w:space="0" w:color="auto"/>
            </w:tcBorders>
            <w:shd w:val="clear" w:color="auto" w:fill="auto"/>
            <w:noWrap/>
            <w:vAlign w:val="center"/>
            <w:hideMark/>
          </w:tcPr>
          <w:p w14:paraId="3464245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41</w:t>
            </w:r>
          </w:p>
        </w:tc>
        <w:tc>
          <w:tcPr>
            <w:tcW w:w="827" w:type="dxa"/>
            <w:tcBorders>
              <w:top w:val="nil"/>
              <w:left w:val="nil"/>
              <w:bottom w:val="single" w:sz="4" w:space="0" w:color="auto"/>
              <w:right w:val="single" w:sz="4" w:space="0" w:color="auto"/>
            </w:tcBorders>
            <w:shd w:val="clear" w:color="auto" w:fill="auto"/>
            <w:noWrap/>
            <w:vAlign w:val="center"/>
            <w:hideMark/>
          </w:tcPr>
          <w:p w14:paraId="00D316F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-34.0</w:t>
            </w:r>
          </w:p>
        </w:tc>
        <w:tc>
          <w:tcPr>
            <w:tcW w:w="627" w:type="dxa"/>
            <w:tcBorders>
              <w:top w:val="nil"/>
              <w:left w:val="nil"/>
              <w:bottom w:val="single" w:sz="4" w:space="0" w:color="auto"/>
              <w:right w:val="single" w:sz="4" w:space="0" w:color="auto"/>
            </w:tcBorders>
            <w:shd w:val="clear" w:color="auto" w:fill="auto"/>
            <w:noWrap/>
            <w:vAlign w:val="center"/>
            <w:hideMark/>
          </w:tcPr>
          <w:p w14:paraId="3D25CBA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6E02235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734" w:type="dxa"/>
            <w:vMerge/>
            <w:tcBorders>
              <w:top w:val="nil"/>
              <w:left w:val="single" w:sz="4" w:space="0" w:color="auto"/>
              <w:bottom w:val="single" w:sz="4" w:space="0" w:color="auto"/>
              <w:right w:val="single" w:sz="4" w:space="0" w:color="auto"/>
            </w:tcBorders>
            <w:vAlign w:val="center"/>
            <w:hideMark/>
          </w:tcPr>
          <w:p w14:paraId="631311A7"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6D992B7A"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44CD1BEF"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4DFC965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1609</w:t>
            </w:r>
          </w:p>
        </w:tc>
        <w:tc>
          <w:tcPr>
            <w:tcW w:w="882" w:type="dxa"/>
            <w:tcBorders>
              <w:top w:val="nil"/>
              <w:left w:val="nil"/>
              <w:bottom w:val="single" w:sz="4" w:space="0" w:color="auto"/>
              <w:right w:val="single" w:sz="4" w:space="0" w:color="auto"/>
            </w:tcBorders>
            <w:shd w:val="clear" w:color="auto" w:fill="auto"/>
            <w:noWrap/>
            <w:vAlign w:val="center"/>
            <w:hideMark/>
          </w:tcPr>
          <w:p w14:paraId="6E211FF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-72.5</w:t>
            </w:r>
          </w:p>
        </w:tc>
        <w:tc>
          <w:tcPr>
            <w:tcW w:w="528" w:type="dxa"/>
            <w:tcBorders>
              <w:top w:val="nil"/>
              <w:left w:val="nil"/>
              <w:bottom w:val="single" w:sz="4" w:space="0" w:color="auto"/>
              <w:right w:val="single" w:sz="4" w:space="0" w:color="auto"/>
            </w:tcBorders>
            <w:shd w:val="clear" w:color="auto" w:fill="auto"/>
            <w:noWrap/>
            <w:vAlign w:val="center"/>
            <w:hideMark/>
          </w:tcPr>
          <w:p w14:paraId="07D4FB3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41</w:t>
            </w:r>
          </w:p>
        </w:tc>
        <w:tc>
          <w:tcPr>
            <w:tcW w:w="827" w:type="dxa"/>
            <w:tcBorders>
              <w:top w:val="nil"/>
              <w:left w:val="nil"/>
              <w:bottom w:val="single" w:sz="4" w:space="0" w:color="auto"/>
              <w:right w:val="single" w:sz="4" w:space="0" w:color="auto"/>
            </w:tcBorders>
            <w:shd w:val="clear" w:color="auto" w:fill="auto"/>
            <w:noWrap/>
            <w:vAlign w:val="center"/>
            <w:hideMark/>
          </w:tcPr>
          <w:p w14:paraId="10B6196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-31.5</w:t>
            </w:r>
          </w:p>
        </w:tc>
        <w:tc>
          <w:tcPr>
            <w:tcW w:w="627" w:type="dxa"/>
            <w:tcBorders>
              <w:top w:val="nil"/>
              <w:left w:val="nil"/>
              <w:bottom w:val="single" w:sz="4" w:space="0" w:color="auto"/>
              <w:right w:val="single" w:sz="4" w:space="0" w:color="auto"/>
            </w:tcBorders>
            <w:shd w:val="clear" w:color="auto" w:fill="auto"/>
            <w:noWrap/>
            <w:vAlign w:val="center"/>
            <w:hideMark/>
          </w:tcPr>
          <w:p w14:paraId="34F9C65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6D3A880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734" w:type="dxa"/>
            <w:vMerge/>
            <w:tcBorders>
              <w:top w:val="nil"/>
              <w:left w:val="single" w:sz="4" w:space="0" w:color="auto"/>
              <w:bottom w:val="single" w:sz="4" w:space="0" w:color="auto"/>
              <w:right w:val="single" w:sz="4" w:space="0" w:color="auto"/>
            </w:tcBorders>
            <w:vAlign w:val="center"/>
            <w:hideMark/>
          </w:tcPr>
          <w:p w14:paraId="7980D2D2"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5E24CCAE"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6247BFD3"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0BB568CF"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1610</w:t>
            </w:r>
          </w:p>
        </w:tc>
        <w:tc>
          <w:tcPr>
            <w:tcW w:w="882" w:type="dxa"/>
            <w:tcBorders>
              <w:top w:val="nil"/>
              <w:left w:val="nil"/>
              <w:bottom w:val="single" w:sz="4" w:space="0" w:color="auto"/>
              <w:right w:val="single" w:sz="4" w:space="0" w:color="auto"/>
            </w:tcBorders>
            <w:shd w:val="clear" w:color="auto" w:fill="auto"/>
            <w:noWrap/>
            <w:vAlign w:val="center"/>
            <w:hideMark/>
          </w:tcPr>
          <w:p w14:paraId="49827D8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-70.0</w:t>
            </w:r>
          </w:p>
        </w:tc>
        <w:tc>
          <w:tcPr>
            <w:tcW w:w="528" w:type="dxa"/>
            <w:tcBorders>
              <w:top w:val="nil"/>
              <w:left w:val="nil"/>
              <w:bottom w:val="single" w:sz="4" w:space="0" w:color="auto"/>
              <w:right w:val="single" w:sz="4" w:space="0" w:color="auto"/>
            </w:tcBorders>
            <w:shd w:val="clear" w:color="auto" w:fill="auto"/>
            <w:noWrap/>
            <w:vAlign w:val="center"/>
            <w:hideMark/>
          </w:tcPr>
          <w:p w14:paraId="2E1683F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41</w:t>
            </w:r>
          </w:p>
        </w:tc>
        <w:tc>
          <w:tcPr>
            <w:tcW w:w="827" w:type="dxa"/>
            <w:tcBorders>
              <w:top w:val="nil"/>
              <w:left w:val="nil"/>
              <w:bottom w:val="single" w:sz="4" w:space="0" w:color="auto"/>
              <w:right w:val="single" w:sz="4" w:space="0" w:color="auto"/>
            </w:tcBorders>
            <w:shd w:val="clear" w:color="auto" w:fill="auto"/>
            <w:noWrap/>
            <w:vAlign w:val="center"/>
            <w:hideMark/>
          </w:tcPr>
          <w:p w14:paraId="30D0EE4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-29.0</w:t>
            </w:r>
          </w:p>
        </w:tc>
        <w:tc>
          <w:tcPr>
            <w:tcW w:w="627" w:type="dxa"/>
            <w:tcBorders>
              <w:top w:val="nil"/>
              <w:left w:val="nil"/>
              <w:bottom w:val="single" w:sz="4" w:space="0" w:color="auto"/>
              <w:right w:val="single" w:sz="4" w:space="0" w:color="auto"/>
            </w:tcBorders>
            <w:shd w:val="clear" w:color="auto" w:fill="auto"/>
            <w:noWrap/>
            <w:vAlign w:val="center"/>
            <w:hideMark/>
          </w:tcPr>
          <w:p w14:paraId="5A52BE76"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3361A17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734" w:type="dxa"/>
            <w:vMerge/>
            <w:tcBorders>
              <w:top w:val="nil"/>
              <w:left w:val="single" w:sz="4" w:space="0" w:color="auto"/>
              <w:bottom w:val="single" w:sz="4" w:space="0" w:color="auto"/>
              <w:right w:val="single" w:sz="4" w:space="0" w:color="auto"/>
            </w:tcBorders>
            <w:vAlign w:val="center"/>
            <w:hideMark/>
          </w:tcPr>
          <w:p w14:paraId="437B2718"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697A2A7" w14:textId="3BB9D0D4"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IMD9</w:t>
            </w:r>
            <w:r>
              <w:rPr>
                <w:rFonts w:ascii="Calibri" w:hAnsi="Calibri"/>
                <w:color w:val="000000"/>
                <w:sz w:val="14"/>
                <w:szCs w:val="16"/>
              </w:rPr>
              <w:t>/</w:t>
            </w:r>
            <w:r w:rsidRPr="00204408">
              <w:rPr>
                <w:rFonts w:ascii="Calibri" w:hAnsi="Calibri"/>
                <w:color w:val="000000"/>
                <w:sz w:val="14"/>
                <w:szCs w:val="16"/>
              </w:rPr>
              <w:t>ACLR2</w:t>
            </w:r>
            <w:r w:rsidRPr="00204408">
              <w:rPr>
                <w:rFonts w:ascii="Calibri" w:hAnsi="Calibri"/>
                <w:color w:val="000000"/>
                <w:sz w:val="14"/>
                <w:szCs w:val="16"/>
              </w:rPr>
              <w:br/>
              <w:t>-31.5</w:t>
            </w:r>
          </w:p>
        </w:tc>
      </w:tr>
      <w:tr w:rsidR="00204408" w:rsidRPr="00204408" w14:paraId="0AED4C0F"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7596F5B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1611</w:t>
            </w:r>
          </w:p>
        </w:tc>
        <w:tc>
          <w:tcPr>
            <w:tcW w:w="882" w:type="dxa"/>
            <w:tcBorders>
              <w:top w:val="nil"/>
              <w:left w:val="nil"/>
              <w:bottom w:val="single" w:sz="4" w:space="0" w:color="auto"/>
              <w:right w:val="single" w:sz="4" w:space="0" w:color="auto"/>
            </w:tcBorders>
            <w:shd w:val="clear" w:color="auto" w:fill="auto"/>
            <w:noWrap/>
            <w:vAlign w:val="center"/>
            <w:hideMark/>
          </w:tcPr>
          <w:p w14:paraId="3B5D552F"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-66.7</w:t>
            </w:r>
          </w:p>
        </w:tc>
        <w:tc>
          <w:tcPr>
            <w:tcW w:w="528" w:type="dxa"/>
            <w:tcBorders>
              <w:top w:val="nil"/>
              <w:left w:val="nil"/>
              <w:bottom w:val="single" w:sz="4" w:space="0" w:color="auto"/>
              <w:right w:val="single" w:sz="4" w:space="0" w:color="auto"/>
            </w:tcBorders>
            <w:shd w:val="clear" w:color="auto" w:fill="auto"/>
            <w:noWrap/>
            <w:vAlign w:val="center"/>
            <w:hideMark/>
          </w:tcPr>
          <w:p w14:paraId="0699AE8A"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41</w:t>
            </w:r>
          </w:p>
        </w:tc>
        <w:tc>
          <w:tcPr>
            <w:tcW w:w="827" w:type="dxa"/>
            <w:tcBorders>
              <w:top w:val="nil"/>
              <w:left w:val="nil"/>
              <w:bottom w:val="single" w:sz="4" w:space="0" w:color="auto"/>
              <w:right w:val="single" w:sz="4" w:space="0" w:color="auto"/>
            </w:tcBorders>
            <w:shd w:val="clear" w:color="auto" w:fill="auto"/>
            <w:noWrap/>
            <w:vAlign w:val="center"/>
            <w:hideMark/>
          </w:tcPr>
          <w:p w14:paraId="50C99C0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-25.7</w:t>
            </w:r>
          </w:p>
        </w:tc>
        <w:tc>
          <w:tcPr>
            <w:tcW w:w="627" w:type="dxa"/>
            <w:tcBorders>
              <w:top w:val="nil"/>
              <w:left w:val="nil"/>
              <w:bottom w:val="single" w:sz="4" w:space="0" w:color="auto"/>
              <w:right w:val="single" w:sz="4" w:space="0" w:color="auto"/>
            </w:tcBorders>
            <w:shd w:val="clear" w:color="000000" w:fill="92D050"/>
            <w:noWrap/>
            <w:vAlign w:val="center"/>
            <w:hideMark/>
          </w:tcPr>
          <w:p w14:paraId="6173A5B6"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000000" w:fill="92D050"/>
            <w:noWrap/>
            <w:vAlign w:val="center"/>
            <w:hideMark/>
          </w:tcPr>
          <w:p w14:paraId="2CA929E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734" w:type="dxa"/>
            <w:vMerge/>
            <w:tcBorders>
              <w:top w:val="nil"/>
              <w:left w:val="single" w:sz="4" w:space="0" w:color="auto"/>
              <w:bottom w:val="single" w:sz="4" w:space="0" w:color="auto"/>
              <w:right w:val="single" w:sz="4" w:space="0" w:color="auto"/>
            </w:tcBorders>
            <w:vAlign w:val="center"/>
            <w:hideMark/>
          </w:tcPr>
          <w:p w14:paraId="70B98D9C"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197A7BD5"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7B8E7F08"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4C8B9F5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1612</w:t>
            </w:r>
          </w:p>
        </w:tc>
        <w:tc>
          <w:tcPr>
            <w:tcW w:w="882" w:type="dxa"/>
            <w:tcBorders>
              <w:top w:val="nil"/>
              <w:left w:val="nil"/>
              <w:bottom w:val="single" w:sz="4" w:space="0" w:color="auto"/>
              <w:right w:val="single" w:sz="4" w:space="0" w:color="auto"/>
            </w:tcBorders>
            <w:shd w:val="clear" w:color="auto" w:fill="auto"/>
            <w:noWrap/>
            <w:vAlign w:val="center"/>
            <w:hideMark/>
          </w:tcPr>
          <w:p w14:paraId="236C6F7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-63.5</w:t>
            </w:r>
          </w:p>
        </w:tc>
        <w:tc>
          <w:tcPr>
            <w:tcW w:w="528" w:type="dxa"/>
            <w:tcBorders>
              <w:top w:val="nil"/>
              <w:left w:val="nil"/>
              <w:bottom w:val="single" w:sz="4" w:space="0" w:color="auto"/>
              <w:right w:val="single" w:sz="4" w:space="0" w:color="auto"/>
            </w:tcBorders>
            <w:shd w:val="clear" w:color="auto" w:fill="auto"/>
            <w:noWrap/>
            <w:vAlign w:val="center"/>
            <w:hideMark/>
          </w:tcPr>
          <w:p w14:paraId="11FC540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41</w:t>
            </w:r>
          </w:p>
        </w:tc>
        <w:tc>
          <w:tcPr>
            <w:tcW w:w="827" w:type="dxa"/>
            <w:tcBorders>
              <w:top w:val="nil"/>
              <w:left w:val="nil"/>
              <w:bottom w:val="single" w:sz="4" w:space="0" w:color="auto"/>
              <w:right w:val="single" w:sz="4" w:space="0" w:color="auto"/>
            </w:tcBorders>
            <w:shd w:val="clear" w:color="auto" w:fill="auto"/>
            <w:noWrap/>
            <w:vAlign w:val="center"/>
            <w:hideMark/>
          </w:tcPr>
          <w:p w14:paraId="182FCAA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-22.5</w:t>
            </w:r>
          </w:p>
        </w:tc>
        <w:tc>
          <w:tcPr>
            <w:tcW w:w="627" w:type="dxa"/>
            <w:tcBorders>
              <w:top w:val="nil"/>
              <w:left w:val="nil"/>
              <w:bottom w:val="single" w:sz="4" w:space="0" w:color="auto"/>
              <w:right w:val="single" w:sz="4" w:space="0" w:color="auto"/>
            </w:tcBorders>
            <w:shd w:val="clear" w:color="000000" w:fill="92D050"/>
            <w:noWrap/>
            <w:vAlign w:val="center"/>
            <w:hideMark/>
          </w:tcPr>
          <w:p w14:paraId="7C7D96F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000000" w:fill="92D050"/>
            <w:noWrap/>
            <w:vAlign w:val="center"/>
            <w:hideMark/>
          </w:tcPr>
          <w:p w14:paraId="79168EE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734" w:type="dxa"/>
            <w:vMerge/>
            <w:tcBorders>
              <w:top w:val="nil"/>
              <w:left w:val="single" w:sz="4" w:space="0" w:color="auto"/>
              <w:bottom w:val="single" w:sz="4" w:space="0" w:color="auto"/>
              <w:right w:val="single" w:sz="4" w:space="0" w:color="auto"/>
            </w:tcBorders>
            <w:vAlign w:val="center"/>
            <w:hideMark/>
          </w:tcPr>
          <w:p w14:paraId="7175EF4A"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5469D7F4"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51A8D8D9"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24AC5C7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1613</w:t>
            </w:r>
          </w:p>
        </w:tc>
        <w:tc>
          <w:tcPr>
            <w:tcW w:w="882" w:type="dxa"/>
            <w:tcBorders>
              <w:top w:val="nil"/>
              <w:left w:val="nil"/>
              <w:bottom w:val="single" w:sz="4" w:space="0" w:color="auto"/>
              <w:right w:val="single" w:sz="4" w:space="0" w:color="auto"/>
            </w:tcBorders>
            <w:shd w:val="clear" w:color="auto" w:fill="auto"/>
            <w:noWrap/>
            <w:vAlign w:val="center"/>
            <w:hideMark/>
          </w:tcPr>
          <w:p w14:paraId="036496D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-60.2</w:t>
            </w:r>
          </w:p>
        </w:tc>
        <w:tc>
          <w:tcPr>
            <w:tcW w:w="528" w:type="dxa"/>
            <w:tcBorders>
              <w:top w:val="nil"/>
              <w:left w:val="nil"/>
              <w:bottom w:val="single" w:sz="4" w:space="0" w:color="auto"/>
              <w:right w:val="single" w:sz="4" w:space="0" w:color="auto"/>
            </w:tcBorders>
            <w:shd w:val="clear" w:color="auto" w:fill="auto"/>
            <w:noWrap/>
            <w:vAlign w:val="center"/>
            <w:hideMark/>
          </w:tcPr>
          <w:p w14:paraId="44FBFD91"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35.3</w:t>
            </w:r>
          </w:p>
        </w:tc>
        <w:tc>
          <w:tcPr>
            <w:tcW w:w="827" w:type="dxa"/>
            <w:tcBorders>
              <w:top w:val="nil"/>
              <w:left w:val="nil"/>
              <w:bottom w:val="single" w:sz="4" w:space="0" w:color="auto"/>
              <w:right w:val="single" w:sz="4" w:space="0" w:color="auto"/>
            </w:tcBorders>
            <w:shd w:val="clear" w:color="auto" w:fill="auto"/>
            <w:noWrap/>
            <w:vAlign w:val="center"/>
            <w:hideMark/>
          </w:tcPr>
          <w:p w14:paraId="123B6B6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-24.9</w:t>
            </w:r>
          </w:p>
        </w:tc>
        <w:tc>
          <w:tcPr>
            <w:tcW w:w="627" w:type="dxa"/>
            <w:tcBorders>
              <w:top w:val="nil"/>
              <w:left w:val="nil"/>
              <w:bottom w:val="single" w:sz="4" w:space="0" w:color="auto"/>
              <w:right w:val="single" w:sz="4" w:space="0" w:color="auto"/>
            </w:tcBorders>
            <w:shd w:val="clear" w:color="000000" w:fill="92D050"/>
            <w:noWrap/>
            <w:vAlign w:val="center"/>
            <w:hideMark/>
          </w:tcPr>
          <w:p w14:paraId="0C9361E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0D2073FA"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734" w:type="dxa"/>
            <w:vMerge/>
            <w:tcBorders>
              <w:top w:val="nil"/>
              <w:left w:val="single" w:sz="4" w:space="0" w:color="auto"/>
              <w:bottom w:val="single" w:sz="4" w:space="0" w:color="auto"/>
              <w:right w:val="single" w:sz="4" w:space="0" w:color="auto"/>
            </w:tcBorders>
            <w:vAlign w:val="center"/>
            <w:hideMark/>
          </w:tcPr>
          <w:p w14:paraId="310DFE1C"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00DA4C2C"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338901D3"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5593E4C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1614</w:t>
            </w:r>
          </w:p>
        </w:tc>
        <w:tc>
          <w:tcPr>
            <w:tcW w:w="882" w:type="dxa"/>
            <w:tcBorders>
              <w:top w:val="nil"/>
              <w:left w:val="nil"/>
              <w:bottom w:val="single" w:sz="4" w:space="0" w:color="auto"/>
              <w:right w:val="single" w:sz="4" w:space="0" w:color="auto"/>
            </w:tcBorders>
            <w:shd w:val="clear" w:color="auto" w:fill="auto"/>
            <w:noWrap/>
            <w:vAlign w:val="center"/>
            <w:hideMark/>
          </w:tcPr>
          <w:p w14:paraId="25BBC94F"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-57.0</w:t>
            </w:r>
          </w:p>
        </w:tc>
        <w:tc>
          <w:tcPr>
            <w:tcW w:w="528" w:type="dxa"/>
            <w:tcBorders>
              <w:top w:val="nil"/>
              <w:left w:val="nil"/>
              <w:bottom w:val="single" w:sz="4" w:space="0" w:color="auto"/>
              <w:right w:val="single" w:sz="4" w:space="0" w:color="auto"/>
            </w:tcBorders>
            <w:shd w:val="clear" w:color="auto" w:fill="auto"/>
            <w:noWrap/>
            <w:vAlign w:val="center"/>
            <w:hideMark/>
          </w:tcPr>
          <w:p w14:paraId="3026A59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29.6</w:t>
            </w:r>
          </w:p>
        </w:tc>
        <w:tc>
          <w:tcPr>
            <w:tcW w:w="827" w:type="dxa"/>
            <w:tcBorders>
              <w:top w:val="nil"/>
              <w:left w:val="nil"/>
              <w:bottom w:val="single" w:sz="4" w:space="0" w:color="auto"/>
              <w:right w:val="single" w:sz="4" w:space="0" w:color="auto"/>
            </w:tcBorders>
            <w:shd w:val="clear" w:color="auto" w:fill="auto"/>
            <w:noWrap/>
            <w:vAlign w:val="center"/>
            <w:hideMark/>
          </w:tcPr>
          <w:p w14:paraId="55AAFC5A"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-27.4</w:t>
            </w:r>
          </w:p>
        </w:tc>
        <w:tc>
          <w:tcPr>
            <w:tcW w:w="627" w:type="dxa"/>
            <w:tcBorders>
              <w:top w:val="nil"/>
              <w:left w:val="nil"/>
              <w:bottom w:val="single" w:sz="4" w:space="0" w:color="auto"/>
              <w:right w:val="single" w:sz="4" w:space="0" w:color="auto"/>
            </w:tcBorders>
            <w:shd w:val="clear" w:color="auto" w:fill="auto"/>
            <w:noWrap/>
            <w:vAlign w:val="center"/>
            <w:hideMark/>
          </w:tcPr>
          <w:p w14:paraId="1B9FDD8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5F01DC1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14:paraId="6565D8C4" w14:textId="6468C3CD"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IMD13</w:t>
            </w:r>
            <w:r>
              <w:rPr>
                <w:rFonts w:ascii="Calibri" w:hAnsi="Calibri"/>
                <w:color w:val="000000"/>
                <w:sz w:val="14"/>
                <w:szCs w:val="16"/>
              </w:rPr>
              <w:t>/</w:t>
            </w:r>
            <w:r w:rsidRPr="00204408">
              <w:rPr>
                <w:rFonts w:ascii="Calibri" w:hAnsi="Calibri"/>
                <w:color w:val="000000"/>
                <w:sz w:val="14"/>
                <w:szCs w:val="16"/>
              </w:rPr>
              <w:t>ACLR3</w:t>
            </w:r>
            <w:r w:rsidRPr="00204408">
              <w:rPr>
                <w:rFonts w:ascii="Calibri" w:hAnsi="Calibri"/>
                <w:color w:val="000000"/>
                <w:sz w:val="14"/>
                <w:szCs w:val="16"/>
              </w:rPr>
              <w:br/>
              <w:t>-29.8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39B2B2" w14:textId="1DAD5084"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IMD7</w:t>
            </w:r>
            <w:r>
              <w:rPr>
                <w:rFonts w:ascii="Calibri" w:hAnsi="Calibri"/>
                <w:color w:val="000000"/>
                <w:sz w:val="14"/>
                <w:szCs w:val="16"/>
              </w:rPr>
              <w:t>/</w:t>
            </w:r>
            <w:r w:rsidRPr="00204408">
              <w:rPr>
                <w:rFonts w:ascii="Calibri" w:hAnsi="Calibri"/>
                <w:color w:val="000000"/>
                <w:sz w:val="14"/>
                <w:szCs w:val="16"/>
              </w:rPr>
              <w:t>ACLR2</w:t>
            </w:r>
            <w:r w:rsidRPr="00204408">
              <w:rPr>
                <w:rFonts w:ascii="Calibri" w:hAnsi="Calibri"/>
                <w:color w:val="000000"/>
                <w:sz w:val="14"/>
                <w:szCs w:val="16"/>
              </w:rPr>
              <w:br/>
              <w:t>-34.7</w:t>
            </w:r>
          </w:p>
        </w:tc>
      </w:tr>
      <w:tr w:rsidR="00204408" w:rsidRPr="00204408" w14:paraId="00B24265"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2A17C71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1615</w:t>
            </w:r>
          </w:p>
        </w:tc>
        <w:tc>
          <w:tcPr>
            <w:tcW w:w="882" w:type="dxa"/>
            <w:tcBorders>
              <w:top w:val="nil"/>
              <w:left w:val="nil"/>
              <w:bottom w:val="single" w:sz="4" w:space="0" w:color="auto"/>
              <w:right w:val="single" w:sz="4" w:space="0" w:color="auto"/>
            </w:tcBorders>
            <w:shd w:val="clear" w:color="auto" w:fill="auto"/>
            <w:noWrap/>
            <w:vAlign w:val="center"/>
            <w:hideMark/>
          </w:tcPr>
          <w:p w14:paraId="6D3E2D46"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-53.7</w:t>
            </w:r>
          </w:p>
        </w:tc>
        <w:tc>
          <w:tcPr>
            <w:tcW w:w="528" w:type="dxa"/>
            <w:tcBorders>
              <w:top w:val="nil"/>
              <w:left w:val="nil"/>
              <w:bottom w:val="single" w:sz="4" w:space="0" w:color="auto"/>
              <w:right w:val="single" w:sz="4" w:space="0" w:color="auto"/>
            </w:tcBorders>
            <w:shd w:val="clear" w:color="auto" w:fill="auto"/>
            <w:noWrap/>
            <w:vAlign w:val="center"/>
            <w:hideMark/>
          </w:tcPr>
          <w:p w14:paraId="055BC7C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23.9</w:t>
            </w:r>
          </w:p>
        </w:tc>
        <w:tc>
          <w:tcPr>
            <w:tcW w:w="827" w:type="dxa"/>
            <w:tcBorders>
              <w:top w:val="nil"/>
              <w:left w:val="nil"/>
              <w:bottom w:val="single" w:sz="4" w:space="0" w:color="auto"/>
              <w:right w:val="single" w:sz="4" w:space="0" w:color="auto"/>
            </w:tcBorders>
            <w:shd w:val="clear" w:color="auto" w:fill="auto"/>
            <w:noWrap/>
            <w:vAlign w:val="center"/>
            <w:hideMark/>
          </w:tcPr>
          <w:p w14:paraId="2D0CB03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-29.8</w:t>
            </w:r>
          </w:p>
        </w:tc>
        <w:tc>
          <w:tcPr>
            <w:tcW w:w="627" w:type="dxa"/>
            <w:tcBorders>
              <w:top w:val="nil"/>
              <w:left w:val="nil"/>
              <w:bottom w:val="single" w:sz="4" w:space="0" w:color="auto"/>
              <w:right w:val="single" w:sz="4" w:space="0" w:color="auto"/>
            </w:tcBorders>
            <w:shd w:val="clear" w:color="auto" w:fill="auto"/>
            <w:noWrap/>
            <w:vAlign w:val="center"/>
            <w:hideMark/>
          </w:tcPr>
          <w:p w14:paraId="5AD0A596"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116D5E8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734" w:type="dxa"/>
            <w:vMerge/>
            <w:tcBorders>
              <w:top w:val="nil"/>
              <w:left w:val="single" w:sz="4" w:space="0" w:color="auto"/>
              <w:bottom w:val="single" w:sz="4" w:space="0" w:color="auto"/>
              <w:right w:val="single" w:sz="4" w:space="0" w:color="auto"/>
            </w:tcBorders>
            <w:vAlign w:val="center"/>
            <w:hideMark/>
          </w:tcPr>
          <w:p w14:paraId="2BCF7419"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50A5B8E0"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05113A1F"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51A9C81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1616</w:t>
            </w:r>
          </w:p>
        </w:tc>
        <w:tc>
          <w:tcPr>
            <w:tcW w:w="882" w:type="dxa"/>
            <w:tcBorders>
              <w:top w:val="nil"/>
              <w:left w:val="nil"/>
              <w:bottom w:val="single" w:sz="4" w:space="0" w:color="auto"/>
              <w:right w:val="single" w:sz="4" w:space="0" w:color="auto"/>
            </w:tcBorders>
            <w:shd w:val="clear" w:color="auto" w:fill="auto"/>
            <w:noWrap/>
            <w:vAlign w:val="center"/>
            <w:hideMark/>
          </w:tcPr>
          <w:p w14:paraId="796D614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-50.5</w:t>
            </w:r>
          </w:p>
        </w:tc>
        <w:tc>
          <w:tcPr>
            <w:tcW w:w="528" w:type="dxa"/>
            <w:tcBorders>
              <w:top w:val="nil"/>
              <w:left w:val="nil"/>
              <w:bottom w:val="single" w:sz="4" w:space="0" w:color="auto"/>
              <w:right w:val="single" w:sz="4" w:space="0" w:color="auto"/>
            </w:tcBorders>
            <w:shd w:val="clear" w:color="auto" w:fill="auto"/>
            <w:noWrap/>
            <w:vAlign w:val="center"/>
            <w:hideMark/>
          </w:tcPr>
          <w:p w14:paraId="74391CE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18.2</w:t>
            </w:r>
          </w:p>
        </w:tc>
        <w:tc>
          <w:tcPr>
            <w:tcW w:w="827" w:type="dxa"/>
            <w:tcBorders>
              <w:top w:val="nil"/>
              <w:left w:val="nil"/>
              <w:bottom w:val="single" w:sz="4" w:space="0" w:color="auto"/>
              <w:right w:val="single" w:sz="4" w:space="0" w:color="auto"/>
            </w:tcBorders>
            <w:shd w:val="clear" w:color="auto" w:fill="auto"/>
            <w:noWrap/>
            <w:vAlign w:val="center"/>
            <w:hideMark/>
          </w:tcPr>
          <w:p w14:paraId="4E16DAE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-32.3</w:t>
            </w:r>
          </w:p>
        </w:tc>
        <w:tc>
          <w:tcPr>
            <w:tcW w:w="627" w:type="dxa"/>
            <w:tcBorders>
              <w:top w:val="nil"/>
              <w:left w:val="nil"/>
              <w:bottom w:val="single" w:sz="4" w:space="0" w:color="auto"/>
              <w:right w:val="single" w:sz="4" w:space="0" w:color="auto"/>
            </w:tcBorders>
            <w:shd w:val="clear" w:color="auto" w:fill="auto"/>
            <w:noWrap/>
            <w:vAlign w:val="center"/>
            <w:hideMark/>
          </w:tcPr>
          <w:p w14:paraId="5DD8BC0A"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w:t>
            </w:r>
          </w:p>
        </w:tc>
        <w:tc>
          <w:tcPr>
            <w:tcW w:w="678" w:type="dxa"/>
            <w:tcBorders>
              <w:top w:val="nil"/>
              <w:left w:val="nil"/>
              <w:bottom w:val="single" w:sz="4" w:space="0" w:color="auto"/>
              <w:right w:val="single" w:sz="4" w:space="0" w:color="auto"/>
            </w:tcBorders>
            <w:shd w:val="clear" w:color="auto" w:fill="auto"/>
            <w:noWrap/>
            <w:vAlign w:val="center"/>
            <w:hideMark/>
          </w:tcPr>
          <w:p w14:paraId="5EB2A99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14:paraId="0720FD85" w14:textId="1FB6925F"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IMD11</w:t>
            </w:r>
            <w:r>
              <w:rPr>
                <w:rFonts w:ascii="Calibri" w:hAnsi="Calibri"/>
                <w:color w:val="000000"/>
                <w:sz w:val="14"/>
                <w:szCs w:val="16"/>
              </w:rPr>
              <w:t>/</w:t>
            </w:r>
            <w:r w:rsidRPr="00204408">
              <w:rPr>
                <w:rFonts w:ascii="Calibri" w:hAnsi="Calibri"/>
                <w:color w:val="000000"/>
                <w:sz w:val="14"/>
                <w:szCs w:val="16"/>
              </w:rPr>
              <w:t>ACLR3</w:t>
            </w:r>
            <w:r w:rsidRPr="00204408">
              <w:rPr>
                <w:rFonts w:ascii="Calibri" w:hAnsi="Calibri"/>
                <w:color w:val="000000"/>
                <w:sz w:val="14"/>
                <w:szCs w:val="16"/>
              </w:rPr>
              <w:br/>
              <w:t>-34.7</w:t>
            </w:r>
          </w:p>
        </w:tc>
        <w:tc>
          <w:tcPr>
            <w:tcW w:w="709" w:type="dxa"/>
            <w:vMerge/>
            <w:tcBorders>
              <w:top w:val="nil"/>
              <w:left w:val="single" w:sz="4" w:space="0" w:color="auto"/>
              <w:bottom w:val="single" w:sz="4" w:space="0" w:color="auto"/>
              <w:right w:val="single" w:sz="4" w:space="0" w:color="auto"/>
            </w:tcBorders>
            <w:vAlign w:val="center"/>
            <w:hideMark/>
          </w:tcPr>
          <w:p w14:paraId="17AA8DDE"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4D9A6A04"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00EF5AC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1617</w:t>
            </w:r>
          </w:p>
        </w:tc>
        <w:tc>
          <w:tcPr>
            <w:tcW w:w="882" w:type="dxa"/>
            <w:tcBorders>
              <w:top w:val="nil"/>
              <w:left w:val="nil"/>
              <w:bottom w:val="single" w:sz="4" w:space="0" w:color="auto"/>
              <w:right w:val="single" w:sz="4" w:space="0" w:color="auto"/>
            </w:tcBorders>
            <w:shd w:val="clear" w:color="auto" w:fill="auto"/>
            <w:noWrap/>
            <w:vAlign w:val="center"/>
            <w:hideMark/>
          </w:tcPr>
          <w:p w14:paraId="797A61E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-47.2</w:t>
            </w:r>
          </w:p>
        </w:tc>
        <w:tc>
          <w:tcPr>
            <w:tcW w:w="528" w:type="dxa"/>
            <w:tcBorders>
              <w:top w:val="nil"/>
              <w:left w:val="nil"/>
              <w:bottom w:val="single" w:sz="4" w:space="0" w:color="auto"/>
              <w:right w:val="single" w:sz="4" w:space="0" w:color="auto"/>
            </w:tcBorders>
            <w:shd w:val="clear" w:color="auto" w:fill="auto"/>
            <w:noWrap/>
            <w:vAlign w:val="center"/>
            <w:hideMark/>
          </w:tcPr>
          <w:p w14:paraId="6709C98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12.5</w:t>
            </w:r>
          </w:p>
        </w:tc>
        <w:tc>
          <w:tcPr>
            <w:tcW w:w="827" w:type="dxa"/>
            <w:tcBorders>
              <w:top w:val="nil"/>
              <w:left w:val="nil"/>
              <w:bottom w:val="single" w:sz="4" w:space="0" w:color="auto"/>
              <w:right w:val="single" w:sz="4" w:space="0" w:color="auto"/>
            </w:tcBorders>
            <w:shd w:val="clear" w:color="000000" w:fill="FF0000"/>
            <w:noWrap/>
            <w:vAlign w:val="center"/>
            <w:hideMark/>
          </w:tcPr>
          <w:p w14:paraId="7D8649A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-34.7</w:t>
            </w:r>
          </w:p>
        </w:tc>
        <w:tc>
          <w:tcPr>
            <w:tcW w:w="627" w:type="dxa"/>
            <w:tcBorders>
              <w:top w:val="nil"/>
              <w:left w:val="nil"/>
              <w:bottom w:val="single" w:sz="4" w:space="0" w:color="auto"/>
              <w:right w:val="single" w:sz="4" w:space="0" w:color="auto"/>
            </w:tcBorders>
            <w:shd w:val="clear" w:color="auto" w:fill="auto"/>
            <w:noWrap/>
            <w:vAlign w:val="center"/>
            <w:hideMark/>
          </w:tcPr>
          <w:p w14:paraId="23C3F87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678" w:type="dxa"/>
            <w:tcBorders>
              <w:top w:val="nil"/>
              <w:left w:val="nil"/>
              <w:bottom w:val="single" w:sz="4" w:space="0" w:color="auto"/>
              <w:right w:val="single" w:sz="4" w:space="0" w:color="auto"/>
            </w:tcBorders>
            <w:shd w:val="clear" w:color="auto" w:fill="auto"/>
            <w:noWrap/>
            <w:vAlign w:val="center"/>
            <w:hideMark/>
          </w:tcPr>
          <w:p w14:paraId="30209A1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734" w:type="dxa"/>
            <w:vMerge/>
            <w:tcBorders>
              <w:top w:val="nil"/>
              <w:left w:val="single" w:sz="4" w:space="0" w:color="auto"/>
              <w:bottom w:val="single" w:sz="4" w:space="0" w:color="auto"/>
              <w:right w:val="single" w:sz="4" w:space="0" w:color="auto"/>
            </w:tcBorders>
            <w:vAlign w:val="center"/>
            <w:hideMark/>
          </w:tcPr>
          <w:p w14:paraId="6DC36307"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7BBAF01C"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495FFEBF"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37E2016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1618</w:t>
            </w:r>
          </w:p>
        </w:tc>
        <w:tc>
          <w:tcPr>
            <w:tcW w:w="882" w:type="dxa"/>
            <w:tcBorders>
              <w:top w:val="nil"/>
              <w:left w:val="nil"/>
              <w:bottom w:val="single" w:sz="4" w:space="0" w:color="auto"/>
              <w:right w:val="single" w:sz="4" w:space="0" w:color="auto"/>
            </w:tcBorders>
            <w:shd w:val="clear" w:color="auto" w:fill="auto"/>
            <w:noWrap/>
            <w:vAlign w:val="center"/>
            <w:hideMark/>
          </w:tcPr>
          <w:p w14:paraId="745DBAF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-43.9</w:t>
            </w:r>
          </w:p>
        </w:tc>
        <w:tc>
          <w:tcPr>
            <w:tcW w:w="528" w:type="dxa"/>
            <w:tcBorders>
              <w:top w:val="nil"/>
              <w:left w:val="nil"/>
              <w:bottom w:val="single" w:sz="4" w:space="0" w:color="auto"/>
              <w:right w:val="single" w:sz="4" w:space="0" w:color="auto"/>
            </w:tcBorders>
            <w:shd w:val="clear" w:color="auto" w:fill="auto"/>
            <w:noWrap/>
            <w:vAlign w:val="center"/>
            <w:hideMark/>
          </w:tcPr>
          <w:p w14:paraId="4ADA860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10</w:t>
            </w:r>
          </w:p>
        </w:tc>
        <w:tc>
          <w:tcPr>
            <w:tcW w:w="827" w:type="dxa"/>
            <w:tcBorders>
              <w:top w:val="nil"/>
              <w:left w:val="nil"/>
              <w:bottom w:val="single" w:sz="4" w:space="0" w:color="auto"/>
              <w:right w:val="single" w:sz="4" w:space="0" w:color="auto"/>
            </w:tcBorders>
            <w:shd w:val="clear" w:color="auto" w:fill="auto"/>
            <w:noWrap/>
            <w:vAlign w:val="center"/>
            <w:hideMark/>
          </w:tcPr>
          <w:p w14:paraId="3C555EF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-33.9</w:t>
            </w:r>
          </w:p>
        </w:tc>
        <w:tc>
          <w:tcPr>
            <w:tcW w:w="627" w:type="dxa"/>
            <w:tcBorders>
              <w:top w:val="nil"/>
              <w:left w:val="nil"/>
              <w:bottom w:val="single" w:sz="4" w:space="0" w:color="auto"/>
              <w:right w:val="single" w:sz="4" w:space="0" w:color="auto"/>
            </w:tcBorders>
            <w:shd w:val="clear" w:color="auto" w:fill="auto"/>
            <w:noWrap/>
            <w:vAlign w:val="center"/>
            <w:hideMark/>
          </w:tcPr>
          <w:p w14:paraId="3229E79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678" w:type="dxa"/>
            <w:tcBorders>
              <w:top w:val="nil"/>
              <w:left w:val="nil"/>
              <w:bottom w:val="single" w:sz="4" w:space="0" w:color="auto"/>
              <w:right w:val="single" w:sz="4" w:space="0" w:color="auto"/>
            </w:tcBorders>
            <w:shd w:val="clear" w:color="auto" w:fill="auto"/>
            <w:noWrap/>
            <w:vAlign w:val="center"/>
            <w:hideMark/>
          </w:tcPr>
          <w:p w14:paraId="0CA5E02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tcBorders>
              <w:top w:val="nil"/>
              <w:left w:val="single" w:sz="4" w:space="0" w:color="auto"/>
              <w:bottom w:val="single" w:sz="4" w:space="0" w:color="auto"/>
              <w:right w:val="single" w:sz="4" w:space="0" w:color="auto"/>
            </w:tcBorders>
            <w:vAlign w:val="center"/>
            <w:hideMark/>
          </w:tcPr>
          <w:p w14:paraId="5295D5CB"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5937B678"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33CEF1F1"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02BCC77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1619</w:t>
            </w:r>
          </w:p>
        </w:tc>
        <w:tc>
          <w:tcPr>
            <w:tcW w:w="882" w:type="dxa"/>
            <w:tcBorders>
              <w:top w:val="nil"/>
              <w:left w:val="nil"/>
              <w:bottom w:val="single" w:sz="4" w:space="0" w:color="auto"/>
              <w:right w:val="single" w:sz="4" w:space="0" w:color="auto"/>
            </w:tcBorders>
            <w:shd w:val="clear" w:color="auto" w:fill="auto"/>
            <w:noWrap/>
            <w:vAlign w:val="center"/>
            <w:hideMark/>
          </w:tcPr>
          <w:p w14:paraId="1F3D178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-40.7</w:t>
            </w:r>
          </w:p>
        </w:tc>
        <w:tc>
          <w:tcPr>
            <w:tcW w:w="528" w:type="dxa"/>
            <w:tcBorders>
              <w:top w:val="nil"/>
              <w:left w:val="nil"/>
              <w:bottom w:val="single" w:sz="4" w:space="0" w:color="auto"/>
              <w:right w:val="single" w:sz="4" w:space="0" w:color="auto"/>
            </w:tcBorders>
            <w:shd w:val="clear" w:color="auto" w:fill="auto"/>
            <w:noWrap/>
            <w:vAlign w:val="center"/>
            <w:hideMark/>
          </w:tcPr>
          <w:p w14:paraId="05BC036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7.5</w:t>
            </w:r>
          </w:p>
        </w:tc>
        <w:tc>
          <w:tcPr>
            <w:tcW w:w="827" w:type="dxa"/>
            <w:tcBorders>
              <w:top w:val="nil"/>
              <w:left w:val="nil"/>
              <w:bottom w:val="single" w:sz="4" w:space="0" w:color="auto"/>
              <w:right w:val="single" w:sz="4" w:space="0" w:color="auto"/>
            </w:tcBorders>
            <w:shd w:val="clear" w:color="auto" w:fill="auto"/>
            <w:noWrap/>
            <w:vAlign w:val="center"/>
            <w:hideMark/>
          </w:tcPr>
          <w:p w14:paraId="18DAD50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-33.2</w:t>
            </w:r>
          </w:p>
        </w:tc>
        <w:tc>
          <w:tcPr>
            <w:tcW w:w="627" w:type="dxa"/>
            <w:tcBorders>
              <w:top w:val="nil"/>
              <w:left w:val="nil"/>
              <w:bottom w:val="single" w:sz="4" w:space="0" w:color="auto"/>
              <w:right w:val="single" w:sz="4" w:space="0" w:color="auto"/>
            </w:tcBorders>
            <w:shd w:val="clear" w:color="auto" w:fill="auto"/>
            <w:noWrap/>
            <w:vAlign w:val="center"/>
            <w:hideMark/>
          </w:tcPr>
          <w:p w14:paraId="1E2BC5F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678" w:type="dxa"/>
            <w:tcBorders>
              <w:top w:val="nil"/>
              <w:left w:val="nil"/>
              <w:bottom w:val="single" w:sz="4" w:space="0" w:color="auto"/>
              <w:right w:val="single" w:sz="4" w:space="0" w:color="auto"/>
            </w:tcBorders>
            <w:shd w:val="clear" w:color="auto" w:fill="auto"/>
            <w:noWrap/>
            <w:vAlign w:val="center"/>
            <w:hideMark/>
          </w:tcPr>
          <w:p w14:paraId="105551D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14:paraId="34319426" w14:textId="132A9E7B"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IMD9</w:t>
            </w:r>
            <w:r>
              <w:rPr>
                <w:rFonts w:ascii="Calibri" w:hAnsi="Calibri"/>
                <w:color w:val="000000"/>
                <w:sz w:val="14"/>
                <w:szCs w:val="16"/>
              </w:rPr>
              <w:t>/</w:t>
            </w:r>
            <w:r w:rsidRPr="00204408">
              <w:rPr>
                <w:rFonts w:ascii="Calibri" w:hAnsi="Calibri"/>
                <w:color w:val="000000"/>
                <w:sz w:val="14"/>
                <w:szCs w:val="16"/>
              </w:rPr>
              <w:t>ACLR2</w:t>
            </w:r>
            <w:r w:rsidRPr="00204408">
              <w:rPr>
                <w:rFonts w:ascii="Calibri" w:hAnsi="Calibri"/>
                <w:color w:val="000000"/>
                <w:sz w:val="14"/>
                <w:szCs w:val="16"/>
              </w:rPr>
              <w:br/>
              <w:t>-33.2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0D56FC" w14:textId="05D6C03F"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IMD5</w:t>
            </w:r>
            <w:r>
              <w:rPr>
                <w:rFonts w:ascii="Calibri" w:hAnsi="Calibri"/>
                <w:color w:val="000000"/>
                <w:sz w:val="14"/>
                <w:szCs w:val="16"/>
              </w:rPr>
              <w:t>/</w:t>
            </w:r>
            <w:r w:rsidRPr="00204408">
              <w:rPr>
                <w:rFonts w:ascii="Calibri" w:hAnsi="Calibri"/>
                <w:color w:val="000000"/>
                <w:sz w:val="14"/>
                <w:szCs w:val="16"/>
              </w:rPr>
              <w:t>ACLR1</w:t>
            </w:r>
            <w:r w:rsidRPr="00204408">
              <w:rPr>
                <w:rFonts w:ascii="Calibri" w:hAnsi="Calibri"/>
                <w:color w:val="000000"/>
                <w:sz w:val="14"/>
                <w:szCs w:val="16"/>
              </w:rPr>
              <w:br/>
              <w:t>-33.9</w:t>
            </w:r>
          </w:p>
        </w:tc>
      </w:tr>
      <w:tr w:rsidR="00204408" w:rsidRPr="00204408" w14:paraId="6B34ED78"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25246FB6"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1620</w:t>
            </w:r>
          </w:p>
        </w:tc>
        <w:tc>
          <w:tcPr>
            <w:tcW w:w="882" w:type="dxa"/>
            <w:tcBorders>
              <w:top w:val="nil"/>
              <w:left w:val="nil"/>
              <w:bottom w:val="single" w:sz="4" w:space="0" w:color="auto"/>
              <w:right w:val="single" w:sz="4" w:space="0" w:color="auto"/>
            </w:tcBorders>
            <w:shd w:val="clear" w:color="auto" w:fill="auto"/>
            <w:noWrap/>
            <w:vAlign w:val="center"/>
            <w:hideMark/>
          </w:tcPr>
          <w:p w14:paraId="01DE65B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-37.4</w:t>
            </w:r>
          </w:p>
        </w:tc>
        <w:tc>
          <w:tcPr>
            <w:tcW w:w="528" w:type="dxa"/>
            <w:tcBorders>
              <w:top w:val="nil"/>
              <w:left w:val="nil"/>
              <w:bottom w:val="single" w:sz="4" w:space="0" w:color="auto"/>
              <w:right w:val="single" w:sz="4" w:space="0" w:color="auto"/>
            </w:tcBorders>
            <w:shd w:val="clear" w:color="auto" w:fill="auto"/>
            <w:noWrap/>
            <w:vAlign w:val="center"/>
            <w:hideMark/>
          </w:tcPr>
          <w:p w14:paraId="4BF02991"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5</w:t>
            </w:r>
          </w:p>
        </w:tc>
        <w:tc>
          <w:tcPr>
            <w:tcW w:w="827" w:type="dxa"/>
            <w:tcBorders>
              <w:top w:val="nil"/>
              <w:left w:val="nil"/>
              <w:bottom w:val="single" w:sz="4" w:space="0" w:color="auto"/>
              <w:right w:val="single" w:sz="4" w:space="0" w:color="auto"/>
            </w:tcBorders>
            <w:shd w:val="clear" w:color="auto" w:fill="auto"/>
            <w:noWrap/>
            <w:vAlign w:val="center"/>
            <w:hideMark/>
          </w:tcPr>
          <w:p w14:paraId="5777799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-32.4</w:t>
            </w:r>
          </w:p>
        </w:tc>
        <w:tc>
          <w:tcPr>
            <w:tcW w:w="627" w:type="dxa"/>
            <w:tcBorders>
              <w:top w:val="nil"/>
              <w:left w:val="nil"/>
              <w:bottom w:val="single" w:sz="4" w:space="0" w:color="auto"/>
              <w:right w:val="single" w:sz="4" w:space="0" w:color="auto"/>
            </w:tcBorders>
            <w:shd w:val="clear" w:color="auto" w:fill="auto"/>
            <w:noWrap/>
            <w:vAlign w:val="center"/>
            <w:hideMark/>
          </w:tcPr>
          <w:p w14:paraId="1D80858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678" w:type="dxa"/>
            <w:tcBorders>
              <w:top w:val="nil"/>
              <w:left w:val="nil"/>
              <w:bottom w:val="single" w:sz="4" w:space="0" w:color="auto"/>
              <w:right w:val="single" w:sz="4" w:space="0" w:color="auto"/>
            </w:tcBorders>
            <w:shd w:val="clear" w:color="auto" w:fill="auto"/>
            <w:noWrap/>
            <w:vAlign w:val="center"/>
            <w:hideMark/>
          </w:tcPr>
          <w:p w14:paraId="668E4BB3"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tcBorders>
              <w:top w:val="nil"/>
              <w:left w:val="single" w:sz="4" w:space="0" w:color="auto"/>
              <w:bottom w:val="single" w:sz="4" w:space="0" w:color="auto"/>
              <w:right w:val="single" w:sz="4" w:space="0" w:color="auto"/>
            </w:tcBorders>
            <w:vAlign w:val="center"/>
            <w:hideMark/>
          </w:tcPr>
          <w:p w14:paraId="7BFB07D0"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6867A514"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58AE6619"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6887027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1621</w:t>
            </w:r>
          </w:p>
        </w:tc>
        <w:tc>
          <w:tcPr>
            <w:tcW w:w="882" w:type="dxa"/>
            <w:tcBorders>
              <w:top w:val="nil"/>
              <w:left w:val="nil"/>
              <w:bottom w:val="single" w:sz="4" w:space="0" w:color="auto"/>
              <w:right w:val="single" w:sz="4" w:space="0" w:color="auto"/>
            </w:tcBorders>
            <w:shd w:val="clear" w:color="auto" w:fill="auto"/>
            <w:noWrap/>
            <w:vAlign w:val="center"/>
            <w:hideMark/>
          </w:tcPr>
          <w:p w14:paraId="1E75679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-34.2</w:t>
            </w:r>
          </w:p>
        </w:tc>
        <w:tc>
          <w:tcPr>
            <w:tcW w:w="528" w:type="dxa"/>
            <w:tcBorders>
              <w:top w:val="nil"/>
              <w:left w:val="nil"/>
              <w:bottom w:val="single" w:sz="4" w:space="0" w:color="auto"/>
              <w:right w:val="single" w:sz="4" w:space="0" w:color="auto"/>
            </w:tcBorders>
            <w:shd w:val="clear" w:color="auto" w:fill="auto"/>
            <w:noWrap/>
            <w:vAlign w:val="center"/>
            <w:hideMark/>
          </w:tcPr>
          <w:p w14:paraId="1914E59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2.5</w:t>
            </w:r>
          </w:p>
        </w:tc>
        <w:tc>
          <w:tcPr>
            <w:tcW w:w="827" w:type="dxa"/>
            <w:tcBorders>
              <w:top w:val="nil"/>
              <w:left w:val="nil"/>
              <w:bottom w:val="single" w:sz="4" w:space="0" w:color="auto"/>
              <w:right w:val="single" w:sz="4" w:space="0" w:color="auto"/>
            </w:tcBorders>
            <w:shd w:val="clear" w:color="auto" w:fill="auto"/>
            <w:noWrap/>
            <w:vAlign w:val="center"/>
            <w:hideMark/>
          </w:tcPr>
          <w:p w14:paraId="51B815B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-31.7</w:t>
            </w:r>
          </w:p>
        </w:tc>
        <w:tc>
          <w:tcPr>
            <w:tcW w:w="627" w:type="dxa"/>
            <w:tcBorders>
              <w:top w:val="nil"/>
              <w:left w:val="nil"/>
              <w:bottom w:val="single" w:sz="4" w:space="0" w:color="auto"/>
              <w:right w:val="single" w:sz="4" w:space="0" w:color="auto"/>
            </w:tcBorders>
            <w:shd w:val="clear" w:color="auto" w:fill="auto"/>
            <w:noWrap/>
            <w:vAlign w:val="center"/>
            <w:hideMark/>
          </w:tcPr>
          <w:p w14:paraId="1E24E04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678" w:type="dxa"/>
            <w:tcBorders>
              <w:top w:val="nil"/>
              <w:left w:val="nil"/>
              <w:bottom w:val="single" w:sz="4" w:space="0" w:color="auto"/>
              <w:right w:val="single" w:sz="4" w:space="0" w:color="auto"/>
            </w:tcBorders>
            <w:shd w:val="clear" w:color="auto" w:fill="auto"/>
            <w:noWrap/>
            <w:vAlign w:val="center"/>
            <w:hideMark/>
          </w:tcPr>
          <w:p w14:paraId="07BBAC8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14:paraId="45D67023" w14:textId="1BD3ED2F"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IMD7</w:t>
            </w:r>
            <w:r>
              <w:rPr>
                <w:rFonts w:ascii="Calibri" w:hAnsi="Calibri"/>
                <w:color w:val="000000"/>
                <w:sz w:val="14"/>
                <w:szCs w:val="16"/>
              </w:rPr>
              <w:t>/</w:t>
            </w:r>
            <w:r w:rsidRPr="00204408">
              <w:rPr>
                <w:rFonts w:ascii="Calibri" w:hAnsi="Calibri"/>
                <w:color w:val="000000"/>
                <w:sz w:val="14"/>
                <w:szCs w:val="16"/>
              </w:rPr>
              <w:t>ACLR2</w:t>
            </w:r>
            <w:r w:rsidRPr="00204408">
              <w:rPr>
                <w:rFonts w:ascii="Calibri" w:hAnsi="Calibri"/>
                <w:color w:val="000000"/>
                <w:sz w:val="14"/>
                <w:szCs w:val="16"/>
              </w:rPr>
              <w:br/>
              <w:t>-31.7</w:t>
            </w:r>
          </w:p>
        </w:tc>
        <w:tc>
          <w:tcPr>
            <w:tcW w:w="709" w:type="dxa"/>
            <w:vMerge/>
            <w:tcBorders>
              <w:top w:val="nil"/>
              <w:left w:val="single" w:sz="4" w:space="0" w:color="auto"/>
              <w:bottom w:val="single" w:sz="4" w:space="0" w:color="auto"/>
              <w:right w:val="single" w:sz="4" w:space="0" w:color="auto"/>
            </w:tcBorders>
            <w:vAlign w:val="center"/>
            <w:hideMark/>
          </w:tcPr>
          <w:p w14:paraId="4E98D84A"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5E1B5A5E"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358FB76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1622</w:t>
            </w:r>
          </w:p>
        </w:tc>
        <w:tc>
          <w:tcPr>
            <w:tcW w:w="882" w:type="dxa"/>
            <w:tcBorders>
              <w:top w:val="nil"/>
              <w:left w:val="nil"/>
              <w:bottom w:val="single" w:sz="4" w:space="0" w:color="auto"/>
              <w:right w:val="single" w:sz="4" w:space="0" w:color="auto"/>
            </w:tcBorders>
            <w:shd w:val="clear" w:color="auto" w:fill="auto"/>
            <w:noWrap/>
            <w:vAlign w:val="center"/>
            <w:hideMark/>
          </w:tcPr>
          <w:p w14:paraId="657BE0F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-30.9</w:t>
            </w:r>
          </w:p>
        </w:tc>
        <w:tc>
          <w:tcPr>
            <w:tcW w:w="528" w:type="dxa"/>
            <w:tcBorders>
              <w:top w:val="nil"/>
              <w:left w:val="nil"/>
              <w:bottom w:val="single" w:sz="4" w:space="0" w:color="auto"/>
              <w:right w:val="single" w:sz="4" w:space="0" w:color="auto"/>
            </w:tcBorders>
            <w:shd w:val="clear" w:color="auto" w:fill="auto"/>
            <w:noWrap/>
            <w:vAlign w:val="center"/>
            <w:hideMark/>
          </w:tcPr>
          <w:p w14:paraId="5C71D81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0</w:t>
            </w:r>
          </w:p>
        </w:tc>
        <w:tc>
          <w:tcPr>
            <w:tcW w:w="827" w:type="dxa"/>
            <w:tcBorders>
              <w:top w:val="nil"/>
              <w:left w:val="nil"/>
              <w:bottom w:val="single" w:sz="4" w:space="0" w:color="auto"/>
              <w:right w:val="single" w:sz="4" w:space="0" w:color="auto"/>
            </w:tcBorders>
            <w:shd w:val="clear" w:color="auto" w:fill="auto"/>
            <w:noWrap/>
            <w:vAlign w:val="center"/>
            <w:hideMark/>
          </w:tcPr>
          <w:p w14:paraId="167CCAD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-30.9</w:t>
            </w:r>
          </w:p>
        </w:tc>
        <w:tc>
          <w:tcPr>
            <w:tcW w:w="627" w:type="dxa"/>
            <w:tcBorders>
              <w:top w:val="nil"/>
              <w:left w:val="nil"/>
              <w:bottom w:val="single" w:sz="4" w:space="0" w:color="auto"/>
              <w:right w:val="single" w:sz="4" w:space="0" w:color="auto"/>
            </w:tcBorders>
            <w:shd w:val="clear" w:color="auto" w:fill="auto"/>
            <w:noWrap/>
            <w:vAlign w:val="center"/>
            <w:hideMark/>
          </w:tcPr>
          <w:p w14:paraId="4C7D9E8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678" w:type="dxa"/>
            <w:tcBorders>
              <w:top w:val="nil"/>
              <w:left w:val="nil"/>
              <w:bottom w:val="single" w:sz="4" w:space="0" w:color="auto"/>
              <w:right w:val="single" w:sz="4" w:space="0" w:color="auto"/>
            </w:tcBorders>
            <w:shd w:val="clear" w:color="auto" w:fill="auto"/>
            <w:noWrap/>
            <w:vAlign w:val="center"/>
            <w:hideMark/>
          </w:tcPr>
          <w:p w14:paraId="0A384CE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tcBorders>
              <w:top w:val="nil"/>
              <w:left w:val="single" w:sz="4" w:space="0" w:color="auto"/>
              <w:bottom w:val="single" w:sz="4" w:space="0" w:color="auto"/>
              <w:right w:val="single" w:sz="4" w:space="0" w:color="auto"/>
            </w:tcBorders>
            <w:vAlign w:val="center"/>
            <w:hideMark/>
          </w:tcPr>
          <w:p w14:paraId="2CEB3746"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56B44DD9"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r>
      <w:tr w:rsidR="00204408" w:rsidRPr="00204408" w14:paraId="3D485D05"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5A66AE8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1623</w:t>
            </w:r>
          </w:p>
        </w:tc>
        <w:tc>
          <w:tcPr>
            <w:tcW w:w="882" w:type="dxa"/>
            <w:tcBorders>
              <w:top w:val="nil"/>
              <w:left w:val="nil"/>
              <w:bottom w:val="single" w:sz="4" w:space="0" w:color="auto"/>
              <w:right w:val="single" w:sz="4" w:space="0" w:color="auto"/>
            </w:tcBorders>
            <w:shd w:val="clear" w:color="auto" w:fill="auto"/>
            <w:noWrap/>
            <w:vAlign w:val="center"/>
            <w:hideMark/>
          </w:tcPr>
          <w:p w14:paraId="304142F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-27.7</w:t>
            </w:r>
          </w:p>
        </w:tc>
        <w:tc>
          <w:tcPr>
            <w:tcW w:w="528" w:type="dxa"/>
            <w:tcBorders>
              <w:top w:val="nil"/>
              <w:left w:val="nil"/>
              <w:bottom w:val="single" w:sz="4" w:space="0" w:color="auto"/>
              <w:right w:val="single" w:sz="4" w:space="0" w:color="auto"/>
            </w:tcBorders>
            <w:shd w:val="clear" w:color="auto" w:fill="auto"/>
            <w:noWrap/>
            <w:vAlign w:val="center"/>
            <w:hideMark/>
          </w:tcPr>
          <w:p w14:paraId="52B3994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0</w:t>
            </w:r>
          </w:p>
        </w:tc>
        <w:tc>
          <w:tcPr>
            <w:tcW w:w="827" w:type="dxa"/>
            <w:tcBorders>
              <w:top w:val="nil"/>
              <w:left w:val="nil"/>
              <w:bottom w:val="single" w:sz="4" w:space="0" w:color="auto"/>
              <w:right w:val="single" w:sz="4" w:space="0" w:color="auto"/>
            </w:tcBorders>
            <w:shd w:val="clear" w:color="auto" w:fill="auto"/>
            <w:noWrap/>
            <w:vAlign w:val="center"/>
            <w:hideMark/>
          </w:tcPr>
          <w:p w14:paraId="4F0B5F67"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-27.7</w:t>
            </w:r>
          </w:p>
        </w:tc>
        <w:tc>
          <w:tcPr>
            <w:tcW w:w="627" w:type="dxa"/>
            <w:tcBorders>
              <w:top w:val="nil"/>
              <w:left w:val="nil"/>
              <w:bottom w:val="single" w:sz="4" w:space="0" w:color="auto"/>
              <w:right w:val="single" w:sz="4" w:space="0" w:color="auto"/>
            </w:tcBorders>
            <w:shd w:val="clear" w:color="auto" w:fill="auto"/>
            <w:noWrap/>
            <w:vAlign w:val="center"/>
            <w:hideMark/>
          </w:tcPr>
          <w:p w14:paraId="0257D7E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678" w:type="dxa"/>
            <w:tcBorders>
              <w:top w:val="nil"/>
              <w:left w:val="nil"/>
              <w:bottom w:val="single" w:sz="4" w:space="0" w:color="auto"/>
              <w:right w:val="single" w:sz="4" w:space="0" w:color="auto"/>
            </w:tcBorders>
            <w:shd w:val="clear" w:color="auto" w:fill="auto"/>
            <w:noWrap/>
            <w:vAlign w:val="center"/>
            <w:hideMark/>
          </w:tcPr>
          <w:p w14:paraId="7F015D9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tcBorders>
              <w:top w:val="nil"/>
              <w:left w:val="single" w:sz="4" w:space="0" w:color="auto"/>
              <w:bottom w:val="single" w:sz="4" w:space="0" w:color="auto"/>
              <w:right w:val="single" w:sz="4" w:space="0" w:color="auto"/>
            </w:tcBorders>
            <w:vAlign w:val="center"/>
            <w:hideMark/>
          </w:tcPr>
          <w:p w14:paraId="7270C3BF"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126F65" w14:textId="1D3F30EF"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IMD3</w:t>
            </w:r>
            <w:r>
              <w:rPr>
                <w:rFonts w:ascii="Calibri" w:hAnsi="Calibri"/>
                <w:color w:val="000000"/>
                <w:sz w:val="14"/>
                <w:szCs w:val="16"/>
              </w:rPr>
              <w:t>/</w:t>
            </w:r>
            <w:r w:rsidRPr="00204408">
              <w:rPr>
                <w:rFonts w:ascii="Calibri" w:hAnsi="Calibri"/>
                <w:color w:val="000000"/>
                <w:sz w:val="14"/>
                <w:szCs w:val="16"/>
              </w:rPr>
              <w:t>ACLR1</w:t>
            </w:r>
            <w:r w:rsidRPr="00204408">
              <w:rPr>
                <w:rFonts w:ascii="Calibri" w:hAnsi="Calibri"/>
                <w:color w:val="000000"/>
                <w:sz w:val="14"/>
                <w:szCs w:val="16"/>
              </w:rPr>
              <w:br/>
              <w:t>-27.7</w:t>
            </w:r>
          </w:p>
        </w:tc>
      </w:tr>
      <w:tr w:rsidR="00204408" w:rsidRPr="00204408" w14:paraId="31697567"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1C254EE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1624</w:t>
            </w:r>
          </w:p>
        </w:tc>
        <w:tc>
          <w:tcPr>
            <w:tcW w:w="882" w:type="dxa"/>
            <w:tcBorders>
              <w:top w:val="nil"/>
              <w:left w:val="nil"/>
              <w:bottom w:val="single" w:sz="4" w:space="0" w:color="auto"/>
              <w:right w:val="single" w:sz="4" w:space="0" w:color="auto"/>
            </w:tcBorders>
            <w:shd w:val="clear" w:color="auto" w:fill="auto"/>
            <w:noWrap/>
            <w:vAlign w:val="center"/>
            <w:hideMark/>
          </w:tcPr>
          <w:p w14:paraId="5E4FBAD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-24.4</w:t>
            </w:r>
          </w:p>
        </w:tc>
        <w:tc>
          <w:tcPr>
            <w:tcW w:w="528" w:type="dxa"/>
            <w:tcBorders>
              <w:top w:val="nil"/>
              <w:left w:val="nil"/>
              <w:bottom w:val="single" w:sz="4" w:space="0" w:color="auto"/>
              <w:right w:val="single" w:sz="4" w:space="0" w:color="auto"/>
            </w:tcBorders>
            <w:shd w:val="clear" w:color="auto" w:fill="auto"/>
            <w:noWrap/>
            <w:vAlign w:val="center"/>
            <w:hideMark/>
          </w:tcPr>
          <w:p w14:paraId="33BFD7A5"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0</w:t>
            </w:r>
          </w:p>
        </w:tc>
        <w:tc>
          <w:tcPr>
            <w:tcW w:w="827" w:type="dxa"/>
            <w:tcBorders>
              <w:top w:val="nil"/>
              <w:left w:val="nil"/>
              <w:bottom w:val="single" w:sz="4" w:space="0" w:color="auto"/>
              <w:right w:val="single" w:sz="4" w:space="0" w:color="auto"/>
            </w:tcBorders>
            <w:shd w:val="clear" w:color="auto" w:fill="auto"/>
            <w:noWrap/>
            <w:vAlign w:val="center"/>
            <w:hideMark/>
          </w:tcPr>
          <w:p w14:paraId="61C0B35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-24.4</w:t>
            </w:r>
          </w:p>
        </w:tc>
        <w:tc>
          <w:tcPr>
            <w:tcW w:w="627" w:type="dxa"/>
            <w:tcBorders>
              <w:top w:val="nil"/>
              <w:left w:val="nil"/>
              <w:bottom w:val="single" w:sz="4" w:space="0" w:color="auto"/>
              <w:right w:val="single" w:sz="4" w:space="0" w:color="auto"/>
            </w:tcBorders>
            <w:shd w:val="clear" w:color="auto" w:fill="auto"/>
            <w:noWrap/>
            <w:vAlign w:val="center"/>
            <w:hideMark/>
          </w:tcPr>
          <w:p w14:paraId="38AD5871"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678" w:type="dxa"/>
            <w:tcBorders>
              <w:top w:val="nil"/>
              <w:left w:val="nil"/>
              <w:bottom w:val="single" w:sz="4" w:space="0" w:color="auto"/>
              <w:right w:val="single" w:sz="4" w:space="0" w:color="auto"/>
            </w:tcBorders>
            <w:shd w:val="clear" w:color="auto" w:fill="auto"/>
            <w:noWrap/>
            <w:vAlign w:val="center"/>
            <w:hideMark/>
          </w:tcPr>
          <w:p w14:paraId="6D26AB3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14:paraId="7F8401DF" w14:textId="51F5237E"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IMD5</w:t>
            </w:r>
            <w:r>
              <w:rPr>
                <w:rFonts w:ascii="Calibri" w:hAnsi="Calibri"/>
                <w:color w:val="000000"/>
                <w:sz w:val="14"/>
                <w:szCs w:val="16"/>
              </w:rPr>
              <w:t>/</w:t>
            </w:r>
            <w:r w:rsidRPr="00204408">
              <w:rPr>
                <w:rFonts w:ascii="Calibri" w:hAnsi="Calibri"/>
                <w:color w:val="000000"/>
                <w:sz w:val="14"/>
                <w:szCs w:val="16"/>
              </w:rPr>
              <w:t>ACLR1</w:t>
            </w:r>
            <w:r w:rsidRPr="00204408">
              <w:rPr>
                <w:rFonts w:ascii="Calibri" w:hAnsi="Calibri"/>
                <w:color w:val="000000"/>
                <w:sz w:val="14"/>
                <w:szCs w:val="16"/>
              </w:rPr>
              <w:br/>
              <w:t>-24.4</w:t>
            </w:r>
          </w:p>
        </w:tc>
        <w:tc>
          <w:tcPr>
            <w:tcW w:w="709" w:type="dxa"/>
            <w:vMerge/>
            <w:tcBorders>
              <w:top w:val="nil"/>
              <w:left w:val="single" w:sz="4" w:space="0" w:color="auto"/>
              <w:bottom w:val="single" w:sz="4" w:space="0" w:color="auto"/>
              <w:right w:val="single" w:sz="4" w:space="0" w:color="auto"/>
            </w:tcBorders>
            <w:vAlign w:val="center"/>
            <w:hideMark/>
          </w:tcPr>
          <w:p w14:paraId="0648C991" w14:textId="77777777" w:rsidR="00204408" w:rsidRPr="00204408" w:rsidRDefault="00204408" w:rsidP="00204408">
            <w:pPr>
              <w:overflowPunct/>
              <w:autoSpaceDE/>
              <w:autoSpaceDN/>
              <w:adjustRightInd/>
              <w:spacing w:after="0"/>
              <w:textAlignment w:val="auto"/>
              <w:rPr>
                <w:rFonts w:ascii="Calibri" w:hAnsi="Calibri"/>
                <w:color w:val="000000"/>
                <w:sz w:val="16"/>
                <w:szCs w:val="16"/>
              </w:rPr>
            </w:pPr>
          </w:p>
        </w:tc>
      </w:tr>
      <w:tr w:rsidR="00204408" w:rsidRPr="00204408" w14:paraId="1DA9BB5A"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35C9ACF6"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1625</w:t>
            </w:r>
          </w:p>
        </w:tc>
        <w:tc>
          <w:tcPr>
            <w:tcW w:w="882" w:type="dxa"/>
            <w:tcBorders>
              <w:top w:val="nil"/>
              <w:left w:val="nil"/>
              <w:bottom w:val="single" w:sz="4" w:space="0" w:color="auto"/>
              <w:right w:val="single" w:sz="4" w:space="0" w:color="auto"/>
            </w:tcBorders>
            <w:shd w:val="clear" w:color="auto" w:fill="auto"/>
            <w:noWrap/>
            <w:vAlign w:val="center"/>
            <w:hideMark/>
          </w:tcPr>
          <w:p w14:paraId="14FD2A3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-21.1</w:t>
            </w:r>
          </w:p>
        </w:tc>
        <w:tc>
          <w:tcPr>
            <w:tcW w:w="528" w:type="dxa"/>
            <w:tcBorders>
              <w:top w:val="nil"/>
              <w:left w:val="nil"/>
              <w:bottom w:val="single" w:sz="4" w:space="0" w:color="auto"/>
              <w:right w:val="single" w:sz="4" w:space="0" w:color="auto"/>
            </w:tcBorders>
            <w:shd w:val="clear" w:color="auto" w:fill="auto"/>
            <w:noWrap/>
            <w:vAlign w:val="center"/>
            <w:hideMark/>
          </w:tcPr>
          <w:p w14:paraId="4F495972"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0</w:t>
            </w:r>
          </w:p>
        </w:tc>
        <w:tc>
          <w:tcPr>
            <w:tcW w:w="827" w:type="dxa"/>
            <w:tcBorders>
              <w:top w:val="nil"/>
              <w:left w:val="nil"/>
              <w:bottom w:val="single" w:sz="4" w:space="0" w:color="auto"/>
              <w:right w:val="single" w:sz="4" w:space="0" w:color="auto"/>
            </w:tcBorders>
            <w:shd w:val="clear" w:color="auto" w:fill="auto"/>
            <w:noWrap/>
            <w:vAlign w:val="center"/>
            <w:hideMark/>
          </w:tcPr>
          <w:p w14:paraId="4BF93F9B"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-21.1</w:t>
            </w:r>
          </w:p>
        </w:tc>
        <w:tc>
          <w:tcPr>
            <w:tcW w:w="627" w:type="dxa"/>
            <w:tcBorders>
              <w:top w:val="nil"/>
              <w:left w:val="nil"/>
              <w:bottom w:val="single" w:sz="4" w:space="0" w:color="auto"/>
              <w:right w:val="single" w:sz="4" w:space="0" w:color="auto"/>
            </w:tcBorders>
            <w:shd w:val="clear" w:color="auto" w:fill="auto"/>
            <w:noWrap/>
            <w:vAlign w:val="center"/>
            <w:hideMark/>
          </w:tcPr>
          <w:p w14:paraId="340A0B4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678" w:type="dxa"/>
            <w:tcBorders>
              <w:top w:val="nil"/>
              <w:left w:val="nil"/>
              <w:bottom w:val="single" w:sz="4" w:space="0" w:color="auto"/>
              <w:right w:val="single" w:sz="4" w:space="0" w:color="auto"/>
            </w:tcBorders>
            <w:shd w:val="clear" w:color="auto" w:fill="auto"/>
            <w:noWrap/>
            <w:vAlign w:val="center"/>
            <w:hideMark/>
          </w:tcPr>
          <w:p w14:paraId="00607BB1"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tcBorders>
              <w:top w:val="nil"/>
              <w:left w:val="single" w:sz="4" w:space="0" w:color="auto"/>
              <w:bottom w:val="single" w:sz="4" w:space="0" w:color="auto"/>
              <w:right w:val="single" w:sz="4" w:space="0" w:color="auto"/>
            </w:tcBorders>
            <w:vAlign w:val="center"/>
            <w:hideMark/>
          </w:tcPr>
          <w:p w14:paraId="1075EC4D" w14:textId="77777777" w:rsidR="00204408" w:rsidRPr="00204408" w:rsidRDefault="00204408" w:rsidP="00204408">
            <w:pPr>
              <w:overflowPunct/>
              <w:autoSpaceDE/>
              <w:autoSpaceDN/>
              <w:adjustRightInd/>
              <w:spacing w:after="0"/>
              <w:textAlignment w:val="auto"/>
              <w:rPr>
                <w:rFonts w:ascii="Calibri" w:hAnsi="Calibri"/>
                <w:color w:val="000000"/>
                <w:sz w:val="14"/>
                <w:szCs w:val="16"/>
              </w:rPr>
            </w:pPr>
          </w:p>
        </w:tc>
        <w:tc>
          <w:tcPr>
            <w:tcW w:w="709" w:type="dxa"/>
            <w:vMerge/>
            <w:tcBorders>
              <w:top w:val="nil"/>
              <w:left w:val="single" w:sz="4" w:space="0" w:color="auto"/>
              <w:bottom w:val="single" w:sz="4" w:space="0" w:color="auto"/>
              <w:right w:val="single" w:sz="4" w:space="0" w:color="auto"/>
            </w:tcBorders>
            <w:vAlign w:val="center"/>
            <w:hideMark/>
          </w:tcPr>
          <w:p w14:paraId="16F705E4" w14:textId="77777777" w:rsidR="00204408" w:rsidRPr="00204408" w:rsidRDefault="00204408" w:rsidP="00204408">
            <w:pPr>
              <w:overflowPunct/>
              <w:autoSpaceDE/>
              <w:autoSpaceDN/>
              <w:adjustRightInd/>
              <w:spacing w:after="0"/>
              <w:textAlignment w:val="auto"/>
              <w:rPr>
                <w:rFonts w:ascii="Calibri" w:hAnsi="Calibri"/>
                <w:color w:val="000000"/>
                <w:sz w:val="16"/>
                <w:szCs w:val="16"/>
              </w:rPr>
            </w:pPr>
          </w:p>
        </w:tc>
      </w:tr>
      <w:tr w:rsidR="00204408" w:rsidRPr="00204408" w14:paraId="68C90DC1"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1385283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1626</w:t>
            </w:r>
          </w:p>
        </w:tc>
        <w:tc>
          <w:tcPr>
            <w:tcW w:w="882" w:type="dxa"/>
            <w:tcBorders>
              <w:top w:val="nil"/>
              <w:left w:val="nil"/>
              <w:bottom w:val="single" w:sz="4" w:space="0" w:color="auto"/>
              <w:right w:val="single" w:sz="4" w:space="0" w:color="auto"/>
            </w:tcBorders>
            <w:shd w:val="clear" w:color="auto" w:fill="auto"/>
            <w:noWrap/>
            <w:vAlign w:val="center"/>
            <w:hideMark/>
          </w:tcPr>
          <w:p w14:paraId="7664C50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-17.9</w:t>
            </w:r>
          </w:p>
        </w:tc>
        <w:tc>
          <w:tcPr>
            <w:tcW w:w="528" w:type="dxa"/>
            <w:tcBorders>
              <w:top w:val="nil"/>
              <w:left w:val="nil"/>
              <w:bottom w:val="single" w:sz="4" w:space="0" w:color="auto"/>
              <w:right w:val="single" w:sz="4" w:space="0" w:color="auto"/>
            </w:tcBorders>
            <w:shd w:val="clear" w:color="auto" w:fill="auto"/>
            <w:noWrap/>
            <w:vAlign w:val="center"/>
            <w:hideMark/>
          </w:tcPr>
          <w:p w14:paraId="12E8ACB0"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0</w:t>
            </w:r>
          </w:p>
        </w:tc>
        <w:tc>
          <w:tcPr>
            <w:tcW w:w="827" w:type="dxa"/>
            <w:tcBorders>
              <w:top w:val="nil"/>
              <w:left w:val="nil"/>
              <w:bottom w:val="single" w:sz="4" w:space="0" w:color="auto"/>
              <w:right w:val="single" w:sz="4" w:space="0" w:color="auto"/>
            </w:tcBorders>
            <w:shd w:val="clear" w:color="auto" w:fill="auto"/>
            <w:noWrap/>
            <w:vAlign w:val="center"/>
            <w:hideMark/>
          </w:tcPr>
          <w:p w14:paraId="0335A67F"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-17.9</w:t>
            </w:r>
          </w:p>
        </w:tc>
        <w:tc>
          <w:tcPr>
            <w:tcW w:w="627" w:type="dxa"/>
            <w:tcBorders>
              <w:top w:val="nil"/>
              <w:left w:val="nil"/>
              <w:bottom w:val="single" w:sz="4" w:space="0" w:color="auto"/>
              <w:right w:val="single" w:sz="4" w:space="0" w:color="auto"/>
            </w:tcBorders>
            <w:shd w:val="clear" w:color="auto" w:fill="auto"/>
            <w:noWrap/>
            <w:vAlign w:val="center"/>
            <w:hideMark/>
          </w:tcPr>
          <w:p w14:paraId="3C40FF59"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678" w:type="dxa"/>
            <w:tcBorders>
              <w:top w:val="nil"/>
              <w:left w:val="nil"/>
              <w:bottom w:val="single" w:sz="4" w:space="0" w:color="auto"/>
              <w:right w:val="single" w:sz="4" w:space="0" w:color="auto"/>
            </w:tcBorders>
            <w:shd w:val="clear" w:color="auto" w:fill="auto"/>
            <w:noWrap/>
            <w:vAlign w:val="center"/>
            <w:hideMark/>
          </w:tcPr>
          <w:p w14:paraId="2490CF6E"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14:paraId="62726E20" w14:textId="793FA1ED" w:rsidR="00204408" w:rsidRPr="00204408" w:rsidRDefault="00204408" w:rsidP="00204408">
            <w:pPr>
              <w:overflowPunct/>
              <w:autoSpaceDE/>
              <w:autoSpaceDN/>
              <w:adjustRightInd/>
              <w:spacing w:after="0"/>
              <w:jc w:val="center"/>
              <w:textAlignment w:val="auto"/>
              <w:rPr>
                <w:rFonts w:ascii="Calibri" w:hAnsi="Calibri"/>
                <w:color w:val="000000"/>
                <w:sz w:val="14"/>
                <w:szCs w:val="16"/>
              </w:rPr>
            </w:pPr>
            <w:r w:rsidRPr="00204408">
              <w:rPr>
                <w:rFonts w:ascii="Calibri" w:hAnsi="Calibri"/>
                <w:color w:val="000000"/>
                <w:sz w:val="14"/>
                <w:szCs w:val="16"/>
              </w:rPr>
              <w:t>IMD3</w:t>
            </w:r>
            <w:r>
              <w:rPr>
                <w:rFonts w:ascii="Calibri" w:hAnsi="Calibri"/>
                <w:color w:val="000000"/>
                <w:sz w:val="14"/>
                <w:szCs w:val="16"/>
              </w:rPr>
              <w:t>/</w:t>
            </w:r>
            <w:r w:rsidRPr="00204408">
              <w:rPr>
                <w:rFonts w:ascii="Calibri" w:hAnsi="Calibri"/>
                <w:color w:val="000000"/>
                <w:sz w:val="14"/>
                <w:szCs w:val="16"/>
              </w:rPr>
              <w:t>ACLR1</w:t>
            </w:r>
            <w:r w:rsidRPr="00204408">
              <w:rPr>
                <w:rFonts w:ascii="Calibri" w:hAnsi="Calibri"/>
                <w:color w:val="000000"/>
                <w:sz w:val="14"/>
                <w:szCs w:val="16"/>
              </w:rPr>
              <w:br/>
              <w:t>-17.9</w:t>
            </w:r>
          </w:p>
        </w:tc>
        <w:tc>
          <w:tcPr>
            <w:tcW w:w="709" w:type="dxa"/>
            <w:vMerge/>
            <w:tcBorders>
              <w:top w:val="nil"/>
              <w:left w:val="single" w:sz="4" w:space="0" w:color="auto"/>
              <w:bottom w:val="single" w:sz="4" w:space="0" w:color="auto"/>
              <w:right w:val="single" w:sz="4" w:space="0" w:color="auto"/>
            </w:tcBorders>
            <w:vAlign w:val="center"/>
            <w:hideMark/>
          </w:tcPr>
          <w:p w14:paraId="5AF7A02F" w14:textId="77777777" w:rsidR="00204408" w:rsidRPr="00204408" w:rsidRDefault="00204408" w:rsidP="00204408">
            <w:pPr>
              <w:overflowPunct/>
              <w:autoSpaceDE/>
              <w:autoSpaceDN/>
              <w:adjustRightInd/>
              <w:spacing w:after="0"/>
              <w:textAlignment w:val="auto"/>
              <w:rPr>
                <w:rFonts w:ascii="Calibri" w:hAnsi="Calibri"/>
                <w:color w:val="000000"/>
                <w:sz w:val="16"/>
                <w:szCs w:val="16"/>
              </w:rPr>
            </w:pPr>
          </w:p>
        </w:tc>
      </w:tr>
      <w:tr w:rsidR="00204408" w:rsidRPr="00204408" w14:paraId="40B2A259" w14:textId="77777777" w:rsidTr="00204408">
        <w:trPr>
          <w:trHeight w:val="58"/>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0421876C"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1627</w:t>
            </w:r>
          </w:p>
        </w:tc>
        <w:tc>
          <w:tcPr>
            <w:tcW w:w="882" w:type="dxa"/>
            <w:tcBorders>
              <w:top w:val="nil"/>
              <w:left w:val="nil"/>
              <w:bottom w:val="single" w:sz="4" w:space="0" w:color="auto"/>
              <w:right w:val="single" w:sz="4" w:space="0" w:color="auto"/>
            </w:tcBorders>
            <w:shd w:val="clear" w:color="auto" w:fill="auto"/>
            <w:noWrap/>
            <w:vAlign w:val="center"/>
            <w:hideMark/>
          </w:tcPr>
          <w:p w14:paraId="1554F9B4"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-14.6</w:t>
            </w:r>
          </w:p>
        </w:tc>
        <w:tc>
          <w:tcPr>
            <w:tcW w:w="528" w:type="dxa"/>
            <w:tcBorders>
              <w:top w:val="nil"/>
              <w:left w:val="nil"/>
              <w:bottom w:val="single" w:sz="4" w:space="0" w:color="auto"/>
              <w:right w:val="single" w:sz="4" w:space="0" w:color="auto"/>
            </w:tcBorders>
            <w:shd w:val="clear" w:color="auto" w:fill="auto"/>
            <w:noWrap/>
            <w:vAlign w:val="center"/>
            <w:hideMark/>
          </w:tcPr>
          <w:p w14:paraId="77FC1C1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0</w:t>
            </w:r>
          </w:p>
        </w:tc>
        <w:tc>
          <w:tcPr>
            <w:tcW w:w="827" w:type="dxa"/>
            <w:tcBorders>
              <w:top w:val="nil"/>
              <w:left w:val="nil"/>
              <w:bottom w:val="single" w:sz="4" w:space="0" w:color="auto"/>
              <w:right w:val="single" w:sz="4" w:space="0" w:color="auto"/>
            </w:tcBorders>
            <w:shd w:val="clear" w:color="auto" w:fill="auto"/>
            <w:noWrap/>
            <w:vAlign w:val="center"/>
            <w:hideMark/>
          </w:tcPr>
          <w:p w14:paraId="1DCEBD48"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-14.6</w:t>
            </w:r>
          </w:p>
        </w:tc>
        <w:tc>
          <w:tcPr>
            <w:tcW w:w="627" w:type="dxa"/>
            <w:tcBorders>
              <w:top w:val="nil"/>
              <w:left w:val="nil"/>
              <w:bottom w:val="single" w:sz="4" w:space="0" w:color="auto"/>
              <w:right w:val="single" w:sz="4" w:space="0" w:color="auto"/>
            </w:tcBorders>
            <w:shd w:val="clear" w:color="auto" w:fill="auto"/>
            <w:noWrap/>
            <w:vAlign w:val="center"/>
            <w:hideMark/>
          </w:tcPr>
          <w:p w14:paraId="1F4030AD"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678" w:type="dxa"/>
            <w:tcBorders>
              <w:top w:val="nil"/>
              <w:left w:val="nil"/>
              <w:bottom w:val="single" w:sz="4" w:space="0" w:color="auto"/>
              <w:right w:val="single" w:sz="4" w:space="0" w:color="auto"/>
            </w:tcBorders>
            <w:shd w:val="clear" w:color="auto" w:fill="auto"/>
            <w:noWrap/>
            <w:vAlign w:val="center"/>
            <w:hideMark/>
          </w:tcPr>
          <w:p w14:paraId="7C981531" w14:textId="77777777" w:rsidR="00204408" w:rsidRPr="00204408" w:rsidRDefault="00204408" w:rsidP="00204408">
            <w:pPr>
              <w:overflowPunct/>
              <w:autoSpaceDE/>
              <w:autoSpaceDN/>
              <w:adjustRightInd/>
              <w:spacing w:after="0"/>
              <w:jc w:val="center"/>
              <w:textAlignment w:val="auto"/>
              <w:rPr>
                <w:rFonts w:ascii="Calibri" w:hAnsi="Calibri"/>
                <w:color w:val="000000"/>
                <w:sz w:val="16"/>
                <w:szCs w:val="16"/>
              </w:rPr>
            </w:pPr>
            <w:r w:rsidRPr="00204408">
              <w:rPr>
                <w:rFonts w:ascii="Calibri" w:hAnsi="Calibri"/>
                <w:color w:val="000000"/>
                <w:sz w:val="16"/>
                <w:szCs w:val="16"/>
              </w:rPr>
              <w:t>-13</w:t>
            </w:r>
          </w:p>
        </w:tc>
        <w:tc>
          <w:tcPr>
            <w:tcW w:w="734" w:type="dxa"/>
            <w:vMerge/>
            <w:tcBorders>
              <w:top w:val="nil"/>
              <w:left w:val="single" w:sz="4" w:space="0" w:color="auto"/>
              <w:bottom w:val="single" w:sz="4" w:space="0" w:color="auto"/>
              <w:right w:val="single" w:sz="4" w:space="0" w:color="auto"/>
            </w:tcBorders>
            <w:vAlign w:val="center"/>
            <w:hideMark/>
          </w:tcPr>
          <w:p w14:paraId="7171E96A" w14:textId="77777777" w:rsidR="00204408" w:rsidRPr="00204408" w:rsidRDefault="00204408" w:rsidP="00204408">
            <w:pPr>
              <w:overflowPunct/>
              <w:autoSpaceDE/>
              <w:autoSpaceDN/>
              <w:adjustRightInd/>
              <w:spacing w:after="0"/>
              <w:textAlignment w:val="auto"/>
              <w:rPr>
                <w:rFonts w:ascii="Calibri" w:hAnsi="Calibri"/>
                <w:color w:val="000000"/>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14:paraId="3A148803" w14:textId="77777777" w:rsidR="00204408" w:rsidRPr="00204408" w:rsidRDefault="00204408" w:rsidP="00204408">
            <w:pPr>
              <w:overflowPunct/>
              <w:autoSpaceDE/>
              <w:autoSpaceDN/>
              <w:adjustRightInd/>
              <w:spacing w:after="0"/>
              <w:textAlignment w:val="auto"/>
              <w:rPr>
                <w:rFonts w:ascii="Calibri" w:hAnsi="Calibri"/>
                <w:color w:val="000000"/>
                <w:sz w:val="16"/>
                <w:szCs w:val="16"/>
              </w:rPr>
            </w:pPr>
          </w:p>
        </w:tc>
      </w:tr>
    </w:tbl>
    <w:p w14:paraId="79E0C733" w14:textId="77777777" w:rsidR="00204408" w:rsidRDefault="00204408" w:rsidP="00827057">
      <w:pPr>
        <w:spacing w:after="0"/>
      </w:pPr>
    </w:p>
    <w:p w14:paraId="3BF2069D" w14:textId="61A8F9C6" w:rsidR="00827057" w:rsidRDefault="00827057" w:rsidP="00827057">
      <w:pPr>
        <w:spacing w:after="0"/>
      </w:pPr>
      <w:r>
        <w:t>Evaluation scenarios</w:t>
      </w:r>
      <w:r w:rsidR="009A7D8C">
        <w:t xml:space="preserve"> are</w:t>
      </w:r>
      <w:r>
        <w:t>:</w:t>
      </w:r>
    </w:p>
    <w:p w14:paraId="5C3C6051" w14:textId="203967B0" w:rsidR="00827057" w:rsidRPr="00BC0D2D" w:rsidRDefault="00827057" w:rsidP="00827057">
      <w:pPr>
        <w:pStyle w:val="ListParagraph"/>
        <w:numPr>
          <w:ilvl w:val="0"/>
          <w:numId w:val="28"/>
        </w:numPr>
        <w:spacing w:after="200" w:line="276" w:lineRule="auto"/>
        <w:rPr>
          <w:rFonts w:eastAsia="Times New Roman"/>
        </w:rPr>
      </w:pPr>
      <w:r w:rsidRPr="00BC0D2D">
        <w:rPr>
          <w:rFonts w:eastAsia="Times New Roman"/>
        </w:rPr>
        <w:t>5 MHz carrier from 1627.5 – 1632.5 MHz</w:t>
      </w:r>
      <w:r>
        <w:rPr>
          <w:rFonts w:eastAsia="Times New Roman"/>
        </w:rPr>
        <w:t xml:space="preserve"> =&gt; full and 1RB measured</w:t>
      </w:r>
      <w:r w:rsidR="00B82A8C">
        <w:rPr>
          <w:rFonts w:eastAsia="Times New Roman"/>
        </w:rPr>
        <w:t xml:space="preserve"> to calibrate simulations</w:t>
      </w:r>
    </w:p>
    <w:p w14:paraId="1347F04D" w14:textId="27632D0E" w:rsidR="00827057" w:rsidRPr="00B82A8C" w:rsidRDefault="00827057" w:rsidP="00B82A8C">
      <w:pPr>
        <w:pStyle w:val="ListParagraph"/>
        <w:numPr>
          <w:ilvl w:val="0"/>
          <w:numId w:val="28"/>
        </w:numPr>
        <w:spacing w:after="200" w:line="276" w:lineRule="auto"/>
        <w:rPr>
          <w:rFonts w:eastAsia="Times New Roman"/>
        </w:rPr>
      </w:pPr>
      <w:r w:rsidRPr="00BC0D2D">
        <w:rPr>
          <w:rFonts w:eastAsia="Times New Roman"/>
        </w:rPr>
        <w:t>5 MHz carrier from 1632.5 – 1637.5 MHz</w:t>
      </w:r>
      <w:r>
        <w:rPr>
          <w:rFonts w:eastAsia="Times New Roman"/>
        </w:rPr>
        <w:t xml:space="preserve"> </w:t>
      </w:r>
      <w:r w:rsidR="00B82A8C">
        <w:rPr>
          <w:rFonts w:eastAsia="Times New Roman"/>
        </w:rPr>
        <w:t>=&gt; full and 1RB measured to calibrate simulations</w:t>
      </w:r>
    </w:p>
    <w:p w14:paraId="49DA6A87" w14:textId="58313D93" w:rsidR="00827057" w:rsidRPr="00B82A8C" w:rsidRDefault="00827057" w:rsidP="00B82A8C">
      <w:pPr>
        <w:pStyle w:val="ListParagraph"/>
        <w:numPr>
          <w:ilvl w:val="0"/>
          <w:numId w:val="28"/>
        </w:numPr>
        <w:spacing w:after="200" w:line="276" w:lineRule="auto"/>
        <w:rPr>
          <w:rFonts w:eastAsia="Times New Roman"/>
        </w:rPr>
      </w:pPr>
      <w:r w:rsidRPr="00BC0D2D">
        <w:rPr>
          <w:rFonts w:eastAsia="Times New Roman"/>
        </w:rPr>
        <w:t>5 MHz carrier from 1646.5 – 1651.5 MHz</w:t>
      </w:r>
      <w:r>
        <w:rPr>
          <w:rFonts w:eastAsia="Times New Roman"/>
        </w:rPr>
        <w:t xml:space="preserve"> </w:t>
      </w:r>
    </w:p>
    <w:p w14:paraId="5B358B7E" w14:textId="36A78B75" w:rsidR="00827057" w:rsidRPr="00BC0D2D" w:rsidRDefault="00827057" w:rsidP="00827057">
      <w:pPr>
        <w:pStyle w:val="ListParagraph"/>
        <w:numPr>
          <w:ilvl w:val="0"/>
          <w:numId w:val="28"/>
        </w:numPr>
        <w:spacing w:after="200" w:line="276" w:lineRule="auto"/>
        <w:rPr>
          <w:rFonts w:eastAsia="Times New Roman"/>
        </w:rPr>
      </w:pPr>
      <w:r w:rsidRPr="00BC0D2D">
        <w:rPr>
          <w:rFonts w:eastAsia="Times New Roman"/>
        </w:rPr>
        <w:t>5 MHz carrier from 1651.5 – 1656.5 MHz</w:t>
      </w:r>
    </w:p>
    <w:p w14:paraId="3035416F" w14:textId="426EE073" w:rsidR="00827057" w:rsidRPr="00BC0D2D" w:rsidRDefault="00827057" w:rsidP="00827057">
      <w:pPr>
        <w:pStyle w:val="ListParagraph"/>
        <w:numPr>
          <w:ilvl w:val="0"/>
          <w:numId w:val="28"/>
        </w:numPr>
        <w:spacing w:after="200" w:line="276" w:lineRule="auto"/>
        <w:rPr>
          <w:rFonts w:eastAsia="Times New Roman"/>
        </w:rPr>
      </w:pPr>
      <w:r w:rsidRPr="00BC0D2D">
        <w:rPr>
          <w:rFonts w:eastAsia="Times New Roman"/>
        </w:rPr>
        <w:t>10 MHz carrier from 1627.5 – 1637.5 MHz</w:t>
      </w:r>
      <w:r w:rsidR="005B0563">
        <w:rPr>
          <w:rFonts w:eastAsia="Times New Roman"/>
        </w:rPr>
        <w:t xml:space="preserve"> =&gt; full and 1RB measured to calibrate simulations</w:t>
      </w:r>
    </w:p>
    <w:p w14:paraId="549DE038" w14:textId="2A8B2C4B" w:rsidR="00B82A8C" w:rsidRDefault="00827057" w:rsidP="00B82A8C">
      <w:pPr>
        <w:pStyle w:val="ListParagraph"/>
        <w:numPr>
          <w:ilvl w:val="0"/>
          <w:numId w:val="28"/>
        </w:numPr>
        <w:spacing w:after="200" w:line="276" w:lineRule="auto"/>
        <w:rPr>
          <w:rFonts w:eastAsia="Times New Roman"/>
        </w:rPr>
      </w:pPr>
      <w:r w:rsidRPr="00BC0D2D">
        <w:rPr>
          <w:rFonts w:eastAsia="Times New Roman"/>
        </w:rPr>
        <w:t>10 MHz carrier from 1646.5 – 1656.5 MHz</w:t>
      </w:r>
    </w:p>
    <w:p w14:paraId="382F0752" w14:textId="2A831D9D" w:rsidR="00B82A8C" w:rsidRDefault="00B82A8C" w:rsidP="00B82A8C">
      <w:pPr>
        <w:pStyle w:val="ListParagraph"/>
        <w:numPr>
          <w:ilvl w:val="0"/>
          <w:numId w:val="29"/>
        </w:numPr>
        <w:spacing w:after="200" w:line="276" w:lineRule="auto"/>
      </w:pPr>
      <w:r>
        <w:t xml:space="preserve">Based on measurement for scenario 1, 2, </w:t>
      </w:r>
      <w:r w:rsidR="005B0563">
        <w:t>5</w:t>
      </w:r>
      <w:r>
        <w:t xml:space="preserve"> and relaxed requirements</w:t>
      </w:r>
      <w:r w:rsidR="005B0563">
        <w:t xml:space="preserve"> for the upper 10MHz </w:t>
      </w:r>
      <w:proofErr w:type="gramStart"/>
      <w:r w:rsidR="005B0563">
        <w:t xml:space="preserve">UL </w:t>
      </w:r>
      <w:r>
        <w:t>,</w:t>
      </w:r>
      <w:proofErr w:type="gramEnd"/>
      <w:r>
        <w:t xml:space="preserve"> only the -28dBm/4kHz can justify a moderate A-MPR </w:t>
      </w:r>
      <w:r w:rsidR="00E114E5">
        <w:t xml:space="preserve">for scenario 3, 4, 6, </w:t>
      </w:r>
      <w:r>
        <w:t xml:space="preserve">and simulations can be trusted or derived from scenario </w:t>
      </w:r>
      <w:r w:rsidR="00E114E5">
        <w:t>1</w:t>
      </w:r>
      <w:r>
        <w:t>,</w:t>
      </w:r>
      <w:r w:rsidR="00E114E5">
        <w:t>2</w:t>
      </w:r>
      <w:r>
        <w:t xml:space="preserve">, </w:t>
      </w:r>
      <w:r w:rsidR="00E114E5">
        <w:t>5</w:t>
      </w:r>
      <w:r>
        <w:t>, measurements</w:t>
      </w:r>
      <w:r w:rsidR="009A7D8C">
        <w:t>.</w:t>
      </w:r>
    </w:p>
    <w:p w14:paraId="19EB0EE3" w14:textId="77777777" w:rsidR="009A7D8C" w:rsidRDefault="00973ED7" w:rsidP="00973ED7">
      <w:pPr>
        <w:spacing w:after="0" w:line="276" w:lineRule="auto"/>
      </w:pPr>
      <w:r>
        <w:t xml:space="preserve">Measured waveform: </w:t>
      </w:r>
    </w:p>
    <w:p w14:paraId="745D11DB" w14:textId="656149B8" w:rsidR="00973ED7" w:rsidRDefault="009A7D8C" w:rsidP="009A7D8C">
      <w:pPr>
        <w:pStyle w:val="ListParagraph"/>
        <w:numPr>
          <w:ilvl w:val="0"/>
          <w:numId w:val="42"/>
        </w:numPr>
        <w:spacing w:after="0" w:line="276" w:lineRule="auto"/>
      </w:pPr>
      <w:r>
        <w:t>G</w:t>
      </w:r>
      <w:r w:rsidR="00973ED7">
        <w:t>iven the measurement time limitations, only the corner waveforms have been measured:</w:t>
      </w:r>
    </w:p>
    <w:p w14:paraId="7F33501B" w14:textId="34132A1A" w:rsidR="00973ED7" w:rsidRDefault="00BF4D7E" w:rsidP="00973ED7">
      <w:pPr>
        <w:pStyle w:val="ListParagraph"/>
        <w:numPr>
          <w:ilvl w:val="0"/>
          <w:numId w:val="31"/>
        </w:numPr>
        <w:spacing w:after="200" w:line="276" w:lineRule="auto"/>
      </w:pPr>
      <w:r>
        <w:t xml:space="preserve">NR </w:t>
      </w:r>
      <w:r w:rsidR="00973ED7">
        <w:t>QPSK CP-OFDM and DFT-s-OFDM waveforms</w:t>
      </w:r>
      <w:r>
        <w:t xml:space="preserve"> with NR impairments</w:t>
      </w:r>
    </w:p>
    <w:p w14:paraId="284928CE" w14:textId="0ED58AF9" w:rsidR="00973ED7" w:rsidRDefault="00973ED7" w:rsidP="00973ED7">
      <w:pPr>
        <w:pStyle w:val="ListParagraph"/>
        <w:numPr>
          <w:ilvl w:val="0"/>
          <w:numId w:val="31"/>
        </w:numPr>
        <w:spacing w:after="200" w:line="276" w:lineRule="auto"/>
      </w:pPr>
      <w:r>
        <w:t>Full and edge 1RB allocations</w:t>
      </w:r>
      <w:r w:rsidR="00886454">
        <w:t>, for the 1MHz MBW measurements since the requirement is always below the UL frequency the 1RB0 case is the worst case, for the 4kHz MBW cases both 1RB at lowest and highest positions are measured</w:t>
      </w:r>
    </w:p>
    <w:p w14:paraId="692BCCA9" w14:textId="5385B4C8" w:rsidR="007F0F0F" w:rsidRDefault="00BF4D7E" w:rsidP="00BF4D7E">
      <w:pPr>
        <w:spacing w:after="0" w:line="276" w:lineRule="auto"/>
        <w:rPr>
          <w:b/>
        </w:rPr>
      </w:pPr>
      <w:r w:rsidRPr="00BF4D7E">
        <w:rPr>
          <w:b/>
        </w:rPr>
        <w:t>Observation on LTE evaluation:</w:t>
      </w:r>
      <w:r>
        <w:rPr>
          <w:b/>
        </w:rPr>
        <w:t xml:space="preserve"> </w:t>
      </w:r>
      <w:r w:rsidRPr="00BF4D7E">
        <w:rPr>
          <w:b/>
        </w:rPr>
        <w:t>Results for LTE can be derived from NR DFT-s-OFDM</w:t>
      </w:r>
      <w:r>
        <w:rPr>
          <w:b/>
        </w:rPr>
        <w:t xml:space="preserve"> but shall account for:</w:t>
      </w:r>
    </w:p>
    <w:p w14:paraId="2E4F8BB6" w14:textId="4825A6B3" w:rsidR="00BF4D7E" w:rsidRDefault="00BF4D7E" w:rsidP="00BF4D7E">
      <w:pPr>
        <w:pStyle w:val="ListParagraph"/>
        <w:numPr>
          <w:ilvl w:val="0"/>
          <w:numId w:val="38"/>
        </w:numPr>
        <w:spacing w:after="0" w:line="276" w:lineRule="auto"/>
        <w:rPr>
          <w:b/>
        </w:rPr>
      </w:pPr>
      <w:r>
        <w:rPr>
          <w:b/>
        </w:rPr>
        <w:t>Wider spectrum outskirts (no windowing/filtering) which is worse for the -37dBm/4kHz band edge specification</w:t>
      </w:r>
    </w:p>
    <w:p w14:paraId="648EC0C2" w14:textId="63553012" w:rsidR="00BF4D7E" w:rsidRDefault="00BF4D7E" w:rsidP="00BF4D7E">
      <w:pPr>
        <w:pStyle w:val="ListParagraph"/>
        <w:numPr>
          <w:ilvl w:val="0"/>
          <w:numId w:val="38"/>
        </w:numPr>
        <w:spacing w:after="0" w:line="276" w:lineRule="auto"/>
        <w:rPr>
          <w:b/>
        </w:rPr>
      </w:pPr>
      <w:r>
        <w:rPr>
          <w:b/>
        </w:rPr>
        <w:t xml:space="preserve">For 10MHz channel the allocation LTE benefits of 0.5MHz guard band instead of </w:t>
      </w:r>
      <w:r w:rsidRPr="00BF4D7E">
        <w:rPr>
          <w:b/>
        </w:rPr>
        <w:t>0.3125</w:t>
      </w:r>
      <w:r>
        <w:rPr>
          <w:b/>
        </w:rPr>
        <w:t>MHz (about 1RB shift) which is better for the -37dBm/4kHz band edge specification</w:t>
      </w:r>
    </w:p>
    <w:p w14:paraId="56221A93" w14:textId="5990FF18" w:rsidR="00BF4D7E" w:rsidRPr="00BF4D7E" w:rsidRDefault="00BF4D7E" w:rsidP="00BF4D7E">
      <w:pPr>
        <w:pStyle w:val="ListParagraph"/>
        <w:numPr>
          <w:ilvl w:val="0"/>
          <w:numId w:val="38"/>
        </w:numPr>
        <w:spacing w:after="0" w:line="276" w:lineRule="auto"/>
        <w:rPr>
          <w:b/>
        </w:rPr>
      </w:pPr>
      <w:r>
        <w:rPr>
          <w:b/>
        </w:rPr>
        <w:t xml:space="preserve">For the case where AMPR is driven by IMDs of the 1RB allocation with the LO and/or image leakage, the </w:t>
      </w:r>
      <w:proofErr w:type="spellStart"/>
      <w:r>
        <w:rPr>
          <w:b/>
        </w:rPr>
        <w:t>dBc</w:t>
      </w:r>
      <w:proofErr w:type="spellEnd"/>
      <w:r>
        <w:rPr>
          <w:b/>
        </w:rPr>
        <w:t xml:space="preserve"> level being 3dB higher a 3dB margin is needed</w:t>
      </w:r>
    </w:p>
    <w:p w14:paraId="1352DC73" w14:textId="1153F51F" w:rsidR="00C22EEB" w:rsidRDefault="00E85FC4" w:rsidP="00C22EEB">
      <w:pPr>
        <w:pStyle w:val="Heading2"/>
        <w:spacing w:after="240"/>
        <w:rPr>
          <w:sz w:val="36"/>
          <w:lang w:val="en-US"/>
        </w:rPr>
      </w:pPr>
      <w:r>
        <w:rPr>
          <w:sz w:val="36"/>
          <w:lang w:val="en-US"/>
        </w:rPr>
        <w:t>Measured Results</w:t>
      </w:r>
    </w:p>
    <w:p w14:paraId="6D83E51E" w14:textId="73265E77" w:rsidR="00A4685C" w:rsidRDefault="007F0F0F" w:rsidP="00CC6661">
      <w:pPr>
        <w:pStyle w:val="Heading3"/>
        <w:tabs>
          <w:tab w:val="num" w:pos="720"/>
          <w:tab w:val="left" w:pos="5940"/>
        </w:tabs>
        <w:spacing w:after="240"/>
        <w:ind w:left="720"/>
      </w:pPr>
      <w:r>
        <w:t>PA Emissions in 1 MHz Measurement Bandwidth</w:t>
      </w:r>
    </w:p>
    <w:p w14:paraId="18704C46" w14:textId="6055F6ED" w:rsidR="00C36E57" w:rsidRPr="00E85FC4" w:rsidRDefault="00C36E57" w:rsidP="00C36E57">
      <w:r>
        <w:t xml:space="preserve">Table </w:t>
      </w:r>
      <w:r w:rsidR="00920A07">
        <w:t>2 and Table 3</w:t>
      </w:r>
      <w:r>
        <w:t xml:space="preserve"> presents the </w:t>
      </w:r>
      <w:r w:rsidR="00920A07">
        <w:t>margin</w:t>
      </w:r>
      <w:r w:rsidR="009A7D8C">
        <w:t>s</w:t>
      </w:r>
      <w:r w:rsidR="00920A07">
        <w:t xml:space="preserve"> for </w:t>
      </w:r>
      <w:r>
        <w:t xml:space="preserve">PA </w:t>
      </w:r>
      <w:r w:rsidR="00920A07">
        <w:t>emissions</w:t>
      </w:r>
      <w:r>
        <w:t xml:space="preserve"> in 1 MHz measurement BW</w:t>
      </w:r>
      <w:r w:rsidR="00920A07">
        <w:t xml:space="preserve"> versus Pout/AMPR</w:t>
      </w:r>
      <w:r w:rsidR="00C36EB0">
        <w:t xml:space="preserve"> in the 1541-16</w:t>
      </w:r>
      <w:r w:rsidR="00920A07">
        <w:t>27</w:t>
      </w:r>
      <w:r w:rsidR="00C36EB0">
        <w:t xml:space="preserve"> MHz</w:t>
      </w:r>
      <w:r>
        <w:t xml:space="preserve"> </w:t>
      </w:r>
      <w:r w:rsidR="00826CB9">
        <w:t xml:space="preserve">frequency range </w:t>
      </w:r>
      <w:r w:rsidR="00920A07">
        <w:t>for the 5 MHz and 10 MHz lowest channels respectively.</w:t>
      </w:r>
      <w:r w:rsidR="00772E25">
        <w:t xml:space="preserve"> CP-OFDM and DFT-s-OFDM waveforms for 1RB0 and full allocations results are provided.</w:t>
      </w:r>
    </w:p>
    <w:p w14:paraId="3E50750A" w14:textId="6E2416C8" w:rsidR="00920A07" w:rsidRDefault="00920A07" w:rsidP="00920A07">
      <w:pPr>
        <w:pStyle w:val="Caption"/>
        <w:keepNext/>
        <w:jc w:val="center"/>
      </w:pPr>
      <w:r>
        <w:lastRenderedPageBreak/>
        <w:t xml:space="preserve">Table </w:t>
      </w:r>
      <w:r w:rsidR="009C0E9B">
        <w:fldChar w:fldCharType="begin"/>
      </w:r>
      <w:r w:rsidR="009C0E9B">
        <w:instrText xml:space="preserve"> SEQ Table \* ARABIC </w:instrText>
      </w:r>
      <w:r w:rsidR="009C0E9B">
        <w:fldChar w:fldCharType="separate"/>
      </w:r>
      <w:r w:rsidR="00633A4B">
        <w:rPr>
          <w:noProof/>
        </w:rPr>
        <w:t>2</w:t>
      </w:r>
      <w:r w:rsidR="009C0E9B">
        <w:rPr>
          <w:noProof/>
        </w:rPr>
        <w:fldChar w:fldCharType="end"/>
      </w:r>
      <w:r>
        <w:t>: 5 MHz channel emission margin at PA output versus Pout/AMPR</w:t>
      </w:r>
    </w:p>
    <w:p w14:paraId="324A2E85" w14:textId="152965BA" w:rsidR="00983C6C" w:rsidRDefault="000A5361" w:rsidP="00920A07">
      <w:pPr>
        <w:jc w:val="center"/>
      </w:pPr>
      <w:r w:rsidRPr="000A5361">
        <w:rPr>
          <w:noProof/>
        </w:rPr>
        <w:drawing>
          <wp:inline distT="0" distB="0" distL="0" distR="0" wp14:anchorId="2B5A79A3" wp14:editId="7E97807E">
            <wp:extent cx="6507480" cy="35433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07480" cy="3543300"/>
                    </a:xfrm>
                    <a:prstGeom prst="rect">
                      <a:avLst/>
                    </a:prstGeom>
                    <a:noFill/>
                    <a:ln>
                      <a:noFill/>
                    </a:ln>
                  </pic:spPr>
                </pic:pic>
              </a:graphicData>
            </a:graphic>
          </wp:inline>
        </w:drawing>
      </w:r>
    </w:p>
    <w:p w14:paraId="5FD86A8E" w14:textId="436CA91D" w:rsidR="00772E25" w:rsidRPr="00CD3665" w:rsidRDefault="00772E25" w:rsidP="00772E25">
      <w:pPr>
        <w:spacing w:after="0"/>
        <w:rPr>
          <w:b/>
        </w:rPr>
      </w:pPr>
      <w:r w:rsidRPr="00CD3665">
        <w:rPr>
          <w:b/>
        </w:rPr>
        <w:t>Observations</w:t>
      </w:r>
      <w:r>
        <w:rPr>
          <w:b/>
        </w:rPr>
        <w:t xml:space="preserve"> for the lowest 5MHz channel 1MHz MBW cases</w:t>
      </w:r>
      <w:r w:rsidRPr="00CD3665">
        <w:rPr>
          <w:b/>
        </w:rPr>
        <w:t xml:space="preserve">: </w:t>
      </w:r>
    </w:p>
    <w:p w14:paraId="0C7CA6E0" w14:textId="1698B62D" w:rsidR="00772E25" w:rsidRDefault="00772E25" w:rsidP="00772E25">
      <w:pPr>
        <w:pStyle w:val="ListParagraph"/>
        <w:numPr>
          <w:ilvl w:val="0"/>
          <w:numId w:val="25"/>
        </w:numPr>
        <w:spacing w:after="0"/>
        <w:rPr>
          <w:b/>
        </w:rPr>
      </w:pPr>
      <w:r>
        <w:rPr>
          <w:b/>
        </w:rPr>
        <w:t>For the CP-OFDM waveforms:</w:t>
      </w:r>
    </w:p>
    <w:p w14:paraId="251A9853" w14:textId="5CEECF31" w:rsidR="00772E25" w:rsidRDefault="00772E25" w:rsidP="00772E25">
      <w:pPr>
        <w:pStyle w:val="ListParagraph"/>
        <w:numPr>
          <w:ilvl w:val="1"/>
          <w:numId w:val="25"/>
        </w:numPr>
        <w:spacing w:after="0"/>
        <w:rPr>
          <w:b/>
        </w:rPr>
      </w:pPr>
      <w:r>
        <w:rPr>
          <w:b/>
        </w:rPr>
        <w:t>1RB0 case show</w:t>
      </w:r>
      <w:r w:rsidR="009A7D8C">
        <w:rPr>
          <w:b/>
        </w:rPr>
        <w:t>s</w:t>
      </w:r>
      <w:r>
        <w:rPr>
          <w:b/>
        </w:rPr>
        <w:t xml:space="preserve"> that the IMD3 of the 1RB0 and its image requires the highest back-off </w:t>
      </w:r>
      <w:r w:rsidR="0025478B">
        <w:rPr>
          <w:b/>
        </w:rPr>
        <w:t>for -27.7dBm/MHz at 1623MHz</w:t>
      </w:r>
      <w:r w:rsidR="0025478B" w:rsidRPr="0025478B">
        <w:rPr>
          <w:b/>
        </w:rPr>
        <w:t xml:space="preserve"> </w:t>
      </w:r>
      <w:r w:rsidR="0025478B">
        <w:rPr>
          <w:b/>
        </w:rPr>
        <w:t>of at least 3dB</w:t>
      </w:r>
    </w:p>
    <w:p w14:paraId="6E672326" w14:textId="508F769F" w:rsidR="0025478B" w:rsidRPr="0025478B" w:rsidRDefault="0025478B" w:rsidP="0025478B">
      <w:pPr>
        <w:pStyle w:val="ListParagraph"/>
        <w:numPr>
          <w:ilvl w:val="1"/>
          <w:numId w:val="25"/>
        </w:numPr>
        <w:spacing w:after="0"/>
        <w:rPr>
          <w:b/>
        </w:rPr>
      </w:pPr>
      <w:r>
        <w:rPr>
          <w:b/>
        </w:rPr>
        <w:t>1RB0 case show</w:t>
      </w:r>
      <w:r w:rsidR="009A7D8C">
        <w:rPr>
          <w:b/>
        </w:rPr>
        <w:t>s</w:t>
      </w:r>
      <w:r>
        <w:rPr>
          <w:b/>
        </w:rPr>
        <w:t xml:space="preserve"> that the IMD3 of the 1RB0 and LO also requires a small back-off</w:t>
      </w:r>
    </w:p>
    <w:p w14:paraId="4E252F5A" w14:textId="77777777" w:rsidR="0025478B" w:rsidRDefault="00772E25" w:rsidP="00772E25">
      <w:pPr>
        <w:pStyle w:val="ListParagraph"/>
        <w:numPr>
          <w:ilvl w:val="1"/>
          <w:numId w:val="25"/>
        </w:numPr>
        <w:spacing w:after="0"/>
        <w:rPr>
          <w:b/>
        </w:rPr>
      </w:pPr>
      <w:r>
        <w:rPr>
          <w:b/>
        </w:rPr>
        <w:t xml:space="preserve">Full allocation requires at least </w:t>
      </w:r>
      <w:r w:rsidR="0025478B">
        <w:rPr>
          <w:b/>
        </w:rPr>
        <w:t>4</w:t>
      </w:r>
      <w:r>
        <w:rPr>
          <w:b/>
        </w:rPr>
        <w:t>dB back-off</w:t>
      </w:r>
      <w:r w:rsidR="0025478B">
        <w:rPr>
          <w:b/>
        </w:rPr>
        <w:t xml:space="preserve"> with around the lower edge of ACLR1 for -30.9dBm/MHz at 1622 MHz</w:t>
      </w:r>
    </w:p>
    <w:p w14:paraId="3EBFC2E5" w14:textId="23B38787" w:rsidR="0025478B" w:rsidRDefault="0025478B" w:rsidP="0025478B">
      <w:pPr>
        <w:pStyle w:val="ListParagraph"/>
        <w:numPr>
          <w:ilvl w:val="0"/>
          <w:numId w:val="25"/>
        </w:numPr>
        <w:spacing w:after="0"/>
        <w:rPr>
          <w:b/>
        </w:rPr>
      </w:pPr>
      <w:r>
        <w:rPr>
          <w:b/>
        </w:rPr>
        <w:t>For the DFT-s-OFDM waveforms:</w:t>
      </w:r>
    </w:p>
    <w:p w14:paraId="5DA4A926" w14:textId="2AC69A37" w:rsidR="0025478B" w:rsidRDefault="0025478B" w:rsidP="0025478B">
      <w:pPr>
        <w:pStyle w:val="ListParagraph"/>
        <w:numPr>
          <w:ilvl w:val="1"/>
          <w:numId w:val="25"/>
        </w:numPr>
        <w:spacing w:after="0"/>
        <w:rPr>
          <w:b/>
        </w:rPr>
      </w:pPr>
      <w:r>
        <w:rPr>
          <w:b/>
        </w:rPr>
        <w:t>1RB0 case show</w:t>
      </w:r>
      <w:r w:rsidR="009A7D8C">
        <w:rPr>
          <w:b/>
        </w:rPr>
        <w:t>s</w:t>
      </w:r>
      <w:r>
        <w:rPr>
          <w:b/>
        </w:rPr>
        <w:t xml:space="preserve"> that the IMD3 of the 1RB0 and its image requires the highest back-off for -27.7dBm/MHz at 1623MHz</w:t>
      </w:r>
      <w:r w:rsidRPr="0025478B">
        <w:rPr>
          <w:b/>
        </w:rPr>
        <w:t xml:space="preserve"> </w:t>
      </w:r>
      <w:r>
        <w:rPr>
          <w:b/>
        </w:rPr>
        <w:t>of at least 2dB</w:t>
      </w:r>
    </w:p>
    <w:p w14:paraId="580ADD7D" w14:textId="77777777" w:rsidR="0025478B" w:rsidRDefault="0025478B" w:rsidP="0025478B">
      <w:pPr>
        <w:pStyle w:val="ListParagraph"/>
        <w:numPr>
          <w:ilvl w:val="1"/>
          <w:numId w:val="25"/>
        </w:numPr>
        <w:spacing w:after="0"/>
        <w:rPr>
          <w:b/>
        </w:rPr>
      </w:pPr>
      <w:r>
        <w:rPr>
          <w:b/>
        </w:rPr>
        <w:t>Full allocation requires at least 3dB back-off with around the lower edge of ACLR1 for -27.7dBm/MHz at 1623MHz</w:t>
      </w:r>
    </w:p>
    <w:p w14:paraId="0770594B" w14:textId="6D7C3B06" w:rsidR="00920A07" w:rsidRDefault="00920A07" w:rsidP="00920A07">
      <w:pPr>
        <w:pStyle w:val="Caption"/>
        <w:keepNext/>
        <w:jc w:val="center"/>
      </w:pPr>
      <w:r>
        <w:lastRenderedPageBreak/>
        <w:t xml:space="preserve">Table </w:t>
      </w:r>
      <w:r w:rsidR="009C0E9B">
        <w:fldChar w:fldCharType="begin"/>
      </w:r>
      <w:r w:rsidR="009C0E9B">
        <w:instrText xml:space="preserve"> SEQ Table \* ARABIC </w:instrText>
      </w:r>
      <w:r w:rsidR="009C0E9B">
        <w:fldChar w:fldCharType="separate"/>
      </w:r>
      <w:r w:rsidR="00633A4B">
        <w:rPr>
          <w:noProof/>
        </w:rPr>
        <w:t>3</w:t>
      </w:r>
      <w:r w:rsidR="009C0E9B">
        <w:rPr>
          <w:noProof/>
        </w:rPr>
        <w:fldChar w:fldCharType="end"/>
      </w:r>
      <w:r>
        <w:t>: 10 MHz channel emission margin at PA output versus Pout/AMPR</w:t>
      </w:r>
    </w:p>
    <w:p w14:paraId="798ADC7B" w14:textId="2832BCD8" w:rsidR="00920A07" w:rsidRDefault="00920A07" w:rsidP="00920A07">
      <w:pPr>
        <w:jc w:val="center"/>
      </w:pPr>
      <w:r w:rsidRPr="00920A07">
        <w:rPr>
          <w:noProof/>
        </w:rPr>
        <w:drawing>
          <wp:inline distT="0" distB="0" distL="0" distR="0" wp14:anchorId="2044BD47" wp14:editId="0AF65BF7">
            <wp:extent cx="6507480" cy="53568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7480" cy="5356860"/>
                    </a:xfrm>
                    <a:prstGeom prst="rect">
                      <a:avLst/>
                    </a:prstGeom>
                    <a:noFill/>
                    <a:ln>
                      <a:noFill/>
                    </a:ln>
                  </pic:spPr>
                </pic:pic>
              </a:graphicData>
            </a:graphic>
          </wp:inline>
        </w:drawing>
      </w:r>
    </w:p>
    <w:p w14:paraId="41023777" w14:textId="493C3CE8" w:rsidR="006A4D84" w:rsidRPr="00CD3665" w:rsidRDefault="006A4D84" w:rsidP="006A4D84">
      <w:pPr>
        <w:spacing w:after="0"/>
        <w:rPr>
          <w:b/>
        </w:rPr>
      </w:pPr>
      <w:r w:rsidRPr="00CD3665">
        <w:rPr>
          <w:b/>
        </w:rPr>
        <w:t>Observations</w:t>
      </w:r>
      <w:r>
        <w:rPr>
          <w:b/>
        </w:rPr>
        <w:t xml:space="preserve"> for the lowest 10MHz channel 1MHz MBW cases</w:t>
      </w:r>
      <w:r w:rsidRPr="00CD3665">
        <w:rPr>
          <w:b/>
        </w:rPr>
        <w:t xml:space="preserve">: </w:t>
      </w:r>
    </w:p>
    <w:p w14:paraId="0D169F95" w14:textId="77777777" w:rsidR="006A4D84" w:rsidRDefault="006A4D84" w:rsidP="006A4D84">
      <w:pPr>
        <w:pStyle w:val="ListParagraph"/>
        <w:numPr>
          <w:ilvl w:val="0"/>
          <w:numId w:val="25"/>
        </w:numPr>
        <w:spacing w:after="0"/>
        <w:rPr>
          <w:b/>
        </w:rPr>
      </w:pPr>
      <w:r>
        <w:rPr>
          <w:b/>
        </w:rPr>
        <w:t>For the CP-OFDM waveforms:</w:t>
      </w:r>
    </w:p>
    <w:p w14:paraId="37F4D851" w14:textId="2016EB67" w:rsidR="006A4D84" w:rsidRDefault="006A4D84" w:rsidP="006A4D84">
      <w:pPr>
        <w:pStyle w:val="ListParagraph"/>
        <w:numPr>
          <w:ilvl w:val="1"/>
          <w:numId w:val="25"/>
        </w:numPr>
        <w:spacing w:after="0"/>
        <w:rPr>
          <w:b/>
        </w:rPr>
      </w:pPr>
      <w:r>
        <w:rPr>
          <w:b/>
        </w:rPr>
        <w:t>1RB0 case show</w:t>
      </w:r>
      <w:r w:rsidR="009A7D8C">
        <w:rPr>
          <w:b/>
        </w:rPr>
        <w:t>s</w:t>
      </w:r>
      <w:r>
        <w:rPr>
          <w:b/>
        </w:rPr>
        <w:t xml:space="preserve"> that the IMD3 of the 1RB0 and its image requires the highest back-off for -33.2dBm/MHz at 1619MHz</w:t>
      </w:r>
      <w:r w:rsidRPr="0025478B">
        <w:rPr>
          <w:b/>
        </w:rPr>
        <w:t xml:space="preserve"> </w:t>
      </w:r>
      <w:r>
        <w:rPr>
          <w:b/>
        </w:rPr>
        <w:t>of at least 6dB</w:t>
      </w:r>
    </w:p>
    <w:p w14:paraId="471B7650" w14:textId="77777777" w:rsidR="006A4D84" w:rsidRPr="0025478B" w:rsidRDefault="006A4D84" w:rsidP="006A4D84">
      <w:pPr>
        <w:pStyle w:val="ListParagraph"/>
        <w:numPr>
          <w:ilvl w:val="1"/>
          <w:numId w:val="25"/>
        </w:numPr>
        <w:spacing w:after="0"/>
        <w:rPr>
          <w:b/>
        </w:rPr>
      </w:pPr>
      <w:r>
        <w:rPr>
          <w:b/>
        </w:rPr>
        <w:t>1RB0 case show that the IMD3 of the 1RB0 and LO also requires a small back-off</w:t>
      </w:r>
    </w:p>
    <w:p w14:paraId="0396C192" w14:textId="6E14E2EF" w:rsidR="006A4D84" w:rsidRDefault="006A4D84" w:rsidP="006A4D84">
      <w:pPr>
        <w:pStyle w:val="ListParagraph"/>
        <w:numPr>
          <w:ilvl w:val="1"/>
          <w:numId w:val="25"/>
        </w:numPr>
        <w:spacing w:after="0"/>
        <w:rPr>
          <w:b/>
        </w:rPr>
      </w:pPr>
      <w:r>
        <w:rPr>
          <w:b/>
        </w:rPr>
        <w:t>Full allocation requires at least 8dB back-off with around the lower edge of ACLR1 for -30.9dBm/MHz at 1622 MHz</w:t>
      </w:r>
    </w:p>
    <w:p w14:paraId="498C9DBC" w14:textId="77777777" w:rsidR="006A4D84" w:rsidRDefault="006A4D84" w:rsidP="006A4D84">
      <w:pPr>
        <w:pStyle w:val="ListParagraph"/>
        <w:numPr>
          <w:ilvl w:val="0"/>
          <w:numId w:val="25"/>
        </w:numPr>
        <w:spacing w:after="0"/>
        <w:rPr>
          <w:b/>
        </w:rPr>
      </w:pPr>
      <w:r>
        <w:rPr>
          <w:b/>
        </w:rPr>
        <w:t>For the DFT-s-OFDM waveforms:</w:t>
      </w:r>
    </w:p>
    <w:p w14:paraId="328C08C5" w14:textId="2A518378" w:rsidR="006A4D84" w:rsidRDefault="006A4D84" w:rsidP="006A4D84">
      <w:pPr>
        <w:pStyle w:val="ListParagraph"/>
        <w:numPr>
          <w:ilvl w:val="1"/>
          <w:numId w:val="25"/>
        </w:numPr>
        <w:spacing w:after="0"/>
        <w:rPr>
          <w:b/>
        </w:rPr>
      </w:pPr>
      <w:r>
        <w:rPr>
          <w:b/>
        </w:rPr>
        <w:t>1RB0 case show</w:t>
      </w:r>
      <w:r w:rsidR="009A7D8C">
        <w:rPr>
          <w:b/>
        </w:rPr>
        <w:t>s</w:t>
      </w:r>
      <w:r>
        <w:rPr>
          <w:b/>
        </w:rPr>
        <w:t xml:space="preserve"> that the IMD3 of the 1RB0 and its image requires the highest back-off for </w:t>
      </w:r>
      <w:r w:rsidR="00E64957">
        <w:rPr>
          <w:b/>
        </w:rPr>
        <w:t xml:space="preserve">-33.2dBm/MHz </w:t>
      </w:r>
      <w:r>
        <w:rPr>
          <w:b/>
        </w:rPr>
        <w:t>at 1619MHz</w:t>
      </w:r>
      <w:r w:rsidRPr="0025478B">
        <w:rPr>
          <w:b/>
        </w:rPr>
        <w:t xml:space="preserve"> </w:t>
      </w:r>
      <w:r>
        <w:rPr>
          <w:b/>
        </w:rPr>
        <w:t>of at least 4dB</w:t>
      </w:r>
    </w:p>
    <w:p w14:paraId="2B96C66F" w14:textId="142D5D27" w:rsidR="006A4D84" w:rsidRPr="006A4D84" w:rsidRDefault="006A4D84" w:rsidP="006A4D84">
      <w:pPr>
        <w:pStyle w:val="ListParagraph"/>
        <w:numPr>
          <w:ilvl w:val="1"/>
          <w:numId w:val="25"/>
        </w:numPr>
        <w:spacing w:after="0"/>
        <w:rPr>
          <w:b/>
        </w:rPr>
      </w:pPr>
      <w:r>
        <w:rPr>
          <w:b/>
        </w:rPr>
        <w:t>1RB0 case show</w:t>
      </w:r>
      <w:r w:rsidR="009A7D8C">
        <w:rPr>
          <w:b/>
        </w:rPr>
        <w:t>s</w:t>
      </w:r>
      <w:r>
        <w:rPr>
          <w:b/>
        </w:rPr>
        <w:t xml:space="preserve"> that the IMD3 of the 1RB0 and LO also requires a small back-off</w:t>
      </w:r>
    </w:p>
    <w:p w14:paraId="41392E61" w14:textId="26D5EB87" w:rsidR="006A4D84" w:rsidRDefault="006A4D84" w:rsidP="006A4D84">
      <w:pPr>
        <w:pStyle w:val="ListParagraph"/>
        <w:numPr>
          <w:ilvl w:val="1"/>
          <w:numId w:val="25"/>
        </w:numPr>
        <w:spacing w:after="0"/>
        <w:rPr>
          <w:b/>
        </w:rPr>
      </w:pPr>
      <w:r>
        <w:rPr>
          <w:b/>
        </w:rPr>
        <w:t xml:space="preserve">Full allocation requires at least </w:t>
      </w:r>
      <w:r w:rsidR="00E64957">
        <w:rPr>
          <w:b/>
        </w:rPr>
        <w:t>8</w:t>
      </w:r>
      <w:r>
        <w:rPr>
          <w:b/>
        </w:rPr>
        <w:t>dB back-off with around the lower edge of ACLR1 for -</w:t>
      </w:r>
      <w:r w:rsidR="00E64957">
        <w:rPr>
          <w:b/>
        </w:rPr>
        <w:t>30</w:t>
      </w:r>
      <w:r>
        <w:rPr>
          <w:b/>
        </w:rPr>
        <w:t>.</w:t>
      </w:r>
      <w:r w:rsidR="00E64957">
        <w:rPr>
          <w:b/>
        </w:rPr>
        <w:t>9</w:t>
      </w:r>
      <w:r>
        <w:rPr>
          <w:b/>
        </w:rPr>
        <w:t>dBm/MHz at 162</w:t>
      </w:r>
      <w:r w:rsidR="00E64957">
        <w:rPr>
          <w:b/>
        </w:rPr>
        <w:t>2</w:t>
      </w:r>
      <w:r>
        <w:rPr>
          <w:b/>
        </w:rPr>
        <w:t>MHz</w:t>
      </w:r>
    </w:p>
    <w:p w14:paraId="52B08AE9" w14:textId="77777777" w:rsidR="00772E25" w:rsidRDefault="00772E25" w:rsidP="004C2625">
      <w:pPr>
        <w:spacing w:after="0"/>
      </w:pPr>
    </w:p>
    <w:p w14:paraId="1B30DE20" w14:textId="2B5B4A61" w:rsidR="004C2625" w:rsidRDefault="004C2625" w:rsidP="004C2625">
      <w:pPr>
        <w:spacing w:after="0"/>
      </w:pPr>
      <w:r>
        <w:t>Since we can see that the 1RB cases are dominated by the IMD3 of the 1RB allocation with its image, this particular IMD was also measured to find its peak. The resulting margin versus Pout/AMPR is shown in Table 4</w:t>
      </w:r>
      <w:r w:rsidR="009A7D8C">
        <w:t xml:space="preserve"> where</w:t>
      </w:r>
      <w:r>
        <w:t>:</w:t>
      </w:r>
    </w:p>
    <w:p w14:paraId="216FD2C5" w14:textId="3879CCC8" w:rsidR="004C2625" w:rsidRDefault="004C2625" w:rsidP="004C2625">
      <w:pPr>
        <w:pStyle w:val="ListParagraph"/>
        <w:numPr>
          <w:ilvl w:val="0"/>
          <w:numId w:val="39"/>
        </w:numPr>
        <w:spacing w:after="0"/>
      </w:pPr>
      <w:r>
        <w:t>CIM3 is the IMD3 of the 1RB allocation with the LO signal</w:t>
      </w:r>
    </w:p>
    <w:p w14:paraId="6C8EAC6D" w14:textId="33B1DFCF" w:rsidR="004C2625" w:rsidRDefault="004C2625" w:rsidP="004C2625">
      <w:pPr>
        <w:pStyle w:val="ListParagraph"/>
        <w:numPr>
          <w:ilvl w:val="0"/>
          <w:numId w:val="39"/>
        </w:numPr>
        <w:spacing w:after="0"/>
      </w:pPr>
      <w:r>
        <w:t>CIM5 is the IMD5 of the 1RB with the image signal</w:t>
      </w:r>
    </w:p>
    <w:p w14:paraId="625087F4" w14:textId="28DABEEF" w:rsidR="004C2625" w:rsidRDefault="004C2625" w:rsidP="004C2625">
      <w:pPr>
        <w:pStyle w:val="Caption"/>
        <w:keepNext/>
        <w:jc w:val="center"/>
      </w:pPr>
      <w:r>
        <w:lastRenderedPageBreak/>
        <w:t xml:space="preserve">Table </w:t>
      </w:r>
      <w:r w:rsidR="009C0E9B">
        <w:fldChar w:fldCharType="begin"/>
      </w:r>
      <w:r w:rsidR="009C0E9B">
        <w:instrText xml:space="preserve"> SEQ Table \* ARABIC </w:instrText>
      </w:r>
      <w:r w:rsidR="009C0E9B">
        <w:fldChar w:fldCharType="separate"/>
      </w:r>
      <w:r w:rsidR="00633A4B">
        <w:rPr>
          <w:noProof/>
        </w:rPr>
        <w:t>4</w:t>
      </w:r>
      <w:r w:rsidR="009C0E9B">
        <w:rPr>
          <w:noProof/>
        </w:rPr>
        <w:fldChar w:fldCharType="end"/>
      </w:r>
      <w:r>
        <w:t xml:space="preserve">: IMD3 </w:t>
      </w:r>
      <w:r w:rsidR="00F8101F">
        <w:t>products from L</w:t>
      </w:r>
      <w:r w:rsidR="00C30A80">
        <w:t>O</w:t>
      </w:r>
      <w:r w:rsidR="00F8101F">
        <w:t xml:space="preserve"> and image signals</w:t>
      </w:r>
    </w:p>
    <w:p w14:paraId="4992FF5D" w14:textId="26D240E2" w:rsidR="004C2625" w:rsidRDefault="00F8101F" w:rsidP="004C2625">
      <w:pPr>
        <w:jc w:val="center"/>
      </w:pPr>
      <w:r w:rsidRPr="00F8101F">
        <w:rPr>
          <w:noProof/>
        </w:rPr>
        <w:drawing>
          <wp:inline distT="0" distB="0" distL="0" distR="0" wp14:anchorId="598C8885" wp14:editId="0C620123">
            <wp:extent cx="4091940" cy="24460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1940" cy="2446020"/>
                    </a:xfrm>
                    <a:prstGeom prst="rect">
                      <a:avLst/>
                    </a:prstGeom>
                    <a:noFill/>
                    <a:ln>
                      <a:noFill/>
                    </a:ln>
                  </pic:spPr>
                </pic:pic>
              </a:graphicData>
            </a:graphic>
          </wp:inline>
        </w:drawing>
      </w:r>
    </w:p>
    <w:p w14:paraId="10B3CA70" w14:textId="0CAEE071" w:rsidR="00C30A80" w:rsidRPr="00CD3665" w:rsidRDefault="00C30A80" w:rsidP="00C30A80">
      <w:pPr>
        <w:spacing w:after="0"/>
        <w:rPr>
          <w:b/>
        </w:rPr>
      </w:pPr>
      <w:r w:rsidRPr="00CD3665">
        <w:rPr>
          <w:b/>
        </w:rPr>
        <w:t>Observations</w:t>
      </w:r>
      <w:r>
        <w:rPr>
          <w:b/>
        </w:rPr>
        <w:t xml:space="preserve"> for 1RB 1MHz MBW cases</w:t>
      </w:r>
      <w:r w:rsidRPr="00CD3665">
        <w:rPr>
          <w:b/>
        </w:rPr>
        <w:t xml:space="preserve">: </w:t>
      </w:r>
    </w:p>
    <w:p w14:paraId="5C69D3F9" w14:textId="77777777" w:rsidR="00C30A80" w:rsidRDefault="00C30A80" w:rsidP="00C30A80">
      <w:pPr>
        <w:pStyle w:val="ListParagraph"/>
        <w:numPr>
          <w:ilvl w:val="0"/>
          <w:numId w:val="25"/>
        </w:numPr>
        <w:spacing w:after="0"/>
        <w:rPr>
          <w:b/>
        </w:rPr>
      </w:pPr>
      <w:r>
        <w:rPr>
          <w:b/>
        </w:rPr>
        <w:t>For the CP-OFDM waveforms:</w:t>
      </w:r>
    </w:p>
    <w:p w14:paraId="62F5D484" w14:textId="2C6E90EE" w:rsidR="00C30A80" w:rsidRDefault="00C30A80" w:rsidP="00C30A80">
      <w:pPr>
        <w:pStyle w:val="ListParagraph"/>
        <w:numPr>
          <w:ilvl w:val="1"/>
          <w:numId w:val="25"/>
        </w:numPr>
        <w:spacing w:after="0"/>
        <w:rPr>
          <w:b/>
        </w:rPr>
      </w:pPr>
      <w:r>
        <w:rPr>
          <w:b/>
        </w:rPr>
        <w:t>The 5MHz 1RB case confirms that the IMD3 of the 1RB and its image requires the highest back-off with at least 4dB</w:t>
      </w:r>
    </w:p>
    <w:p w14:paraId="579F4557" w14:textId="1FF9DBF8" w:rsidR="00C30A80" w:rsidRPr="00C30A80" w:rsidRDefault="00C30A80" w:rsidP="00C30A80">
      <w:pPr>
        <w:pStyle w:val="ListParagraph"/>
        <w:numPr>
          <w:ilvl w:val="1"/>
          <w:numId w:val="25"/>
        </w:numPr>
        <w:spacing w:after="0"/>
        <w:rPr>
          <w:b/>
        </w:rPr>
      </w:pPr>
      <w:r>
        <w:rPr>
          <w:b/>
        </w:rPr>
        <w:t>The 10MHz 1RB case confirms that the IMD3 of the 1RB and its image requires the highest back-off for with least 7dB</w:t>
      </w:r>
    </w:p>
    <w:p w14:paraId="6FF32ACD" w14:textId="77777777" w:rsidR="00C30A80" w:rsidRDefault="00C30A80" w:rsidP="00C30A80">
      <w:pPr>
        <w:pStyle w:val="ListParagraph"/>
        <w:numPr>
          <w:ilvl w:val="0"/>
          <w:numId w:val="25"/>
        </w:numPr>
        <w:spacing w:after="0"/>
        <w:rPr>
          <w:b/>
        </w:rPr>
      </w:pPr>
      <w:r>
        <w:rPr>
          <w:b/>
        </w:rPr>
        <w:t>For the DFT-s-OFDM waveforms:</w:t>
      </w:r>
    </w:p>
    <w:p w14:paraId="28E6353E" w14:textId="5CDDECB2" w:rsidR="00C30A80" w:rsidRDefault="00C30A80" w:rsidP="00C30A80">
      <w:pPr>
        <w:pStyle w:val="ListParagraph"/>
        <w:numPr>
          <w:ilvl w:val="1"/>
          <w:numId w:val="25"/>
        </w:numPr>
        <w:spacing w:after="0"/>
        <w:rPr>
          <w:b/>
        </w:rPr>
      </w:pPr>
      <w:r>
        <w:rPr>
          <w:b/>
        </w:rPr>
        <w:t>The 5MHz 1RB case confirms that the IMD3 of the 1RB and its image requires the highest back-off for with least 3dB</w:t>
      </w:r>
    </w:p>
    <w:p w14:paraId="229545BF" w14:textId="3015CFC8" w:rsidR="00C30A80" w:rsidRDefault="00C30A80" w:rsidP="00C30A80">
      <w:pPr>
        <w:pStyle w:val="ListParagraph"/>
        <w:numPr>
          <w:ilvl w:val="1"/>
          <w:numId w:val="25"/>
        </w:numPr>
        <w:spacing w:after="0"/>
        <w:rPr>
          <w:b/>
        </w:rPr>
      </w:pPr>
      <w:r>
        <w:rPr>
          <w:b/>
        </w:rPr>
        <w:t>The 10MHz 1RB case confirms that the IMD3 of the 1RB and its image requires the highest back-off for with least 5dB</w:t>
      </w:r>
    </w:p>
    <w:p w14:paraId="4FD0F1F0" w14:textId="68414154" w:rsidR="00C30A80" w:rsidRPr="00C30A80" w:rsidRDefault="00CE36FE" w:rsidP="00C30A80">
      <w:pPr>
        <w:pStyle w:val="ListParagraph"/>
        <w:numPr>
          <w:ilvl w:val="0"/>
          <w:numId w:val="25"/>
        </w:numPr>
        <w:spacing w:after="0"/>
        <w:rPr>
          <w:b/>
        </w:rPr>
      </w:pPr>
      <w:r>
        <w:rPr>
          <w:b/>
        </w:rPr>
        <w:t xml:space="preserve">Looking for </w:t>
      </w:r>
      <w:r w:rsidR="009A7D8C">
        <w:rPr>
          <w:b/>
        </w:rPr>
        <w:t xml:space="preserve">the </w:t>
      </w:r>
      <w:r>
        <w:rPr>
          <w:b/>
        </w:rPr>
        <w:t>peak of the IMD shows that 1dB more back-off is needed compared to the edge allocation case</w:t>
      </w:r>
    </w:p>
    <w:p w14:paraId="7A024940" w14:textId="204F17E0" w:rsidR="006A4D84" w:rsidRDefault="006A4D84" w:rsidP="006A4D84">
      <w:pPr>
        <w:pStyle w:val="ListParagraph"/>
        <w:numPr>
          <w:ilvl w:val="0"/>
          <w:numId w:val="25"/>
        </w:numPr>
        <w:spacing w:after="0"/>
        <w:rPr>
          <w:b/>
        </w:rPr>
      </w:pPr>
      <w:r>
        <w:rPr>
          <w:b/>
        </w:rPr>
        <w:t>Narrow allocation</w:t>
      </w:r>
      <w:r w:rsidR="00CE36FE">
        <w:rPr>
          <w:b/>
        </w:rPr>
        <w:t>s</w:t>
      </w:r>
      <w:r>
        <w:rPr>
          <w:b/>
        </w:rPr>
        <w:t xml:space="preserve"> behavior can be derived from 1RB</w:t>
      </w:r>
      <w:r w:rsidR="00CE36FE">
        <w:rPr>
          <w:b/>
        </w:rPr>
        <w:t xml:space="preserve"> measurements</w:t>
      </w:r>
      <w:r>
        <w:rPr>
          <w:b/>
        </w:rPr>
        <w:t>:</w:t>
      </w:r>
    </w:p>
    <w:p w14:paraId="44C11B67" w14:textId="2A742868" w:rsidR="006A4D84" w:rsidRDefault="006A4D84" w:rsidP="006A4D84">
      <w:pPr>
        <w:pStyle w:val="ListParagraph"/>
        <w:numPr>
          <w:ilvl w:val="1"/>
          <w:numId w:val="25"/>
        </w:numPr>
        <w:spacing w:after="0"/>
        <w:rPr>
          <w:b/>
        </w:rPr>
      </w:pPr>
      <w:r>
        <w:rPr>
          <w:b/>
        </w:rPr>
        <w:t xml:space="preserve">Reduced back-off with </w:t>
      </w:r>
      <w:proofErr w:type="spellStart"/>
      <w:r>
        <w:rPr>
          <w:b/>
        </w:rPr>
        <w:t>RBstart</w:t>
      </w:r>
      <w:proofErr w:type="spellEnd"/>
      <w:r>
        <w:rPr>
          <w:b/>
        </w:rPr>
        <w:t xml:space="preserve"> as allocation</w:t>
      </w:r>
      <w:r w:rsidR="00CE36FE">
        <w:rPr>
          <w:b/>
        </w:rPr>
        <w:t xml:space="preserve"> </w:t>
      </w:r>
      <w:r>
        <w:rPr>
          <w:b/>
        </w:rPr>
        <w:t>+</w:t>
      </w:r>
      <w:r w:rsidR="00CE36FE">
        <w:rPr>
          <w:b/>
        </w:rPr>
        <w:t xml:space="preserve"> </w:t>
      </w:r>
      <w:r>
        <w:rPr>
          <w:b/>
        </w:rPr>
        <w:t>Image IM3 has lower requirement until it falls inside the band</w:t>
      </w:r>
      <w:r w:rsidR="009A7D8C">
        <w:rPr>
          <w:b/>
        </w:rPr>
        <w:t xml:space="preserve"> and MPR applies</w:t>
      </w:r>
    </w:p>
    <w:p w14:paraId="3F4521B3" w14:textId="77777777" w:rsidR="006A4D84" w:rsidRDefault="006A4D84" w:rsidP="006A4D84">
      <w:pPr>
        <w:pStyle w:val="ListParagraph"/>
        <w:numPr>
          <w:ilvl w:val="1"/>
          <w:numId w:val="25"/>
        </w:numPr>
        <w:spacing w:after="0"/>
        <w:jc w:val="both"/>
        <w:rPr>
          <w:b/>
        </w:rPr>
      </w:pPr>
      <w:r>
        <w:rPr>
          <w:b/>
        </w:rPr>
        <w:t>Reduced back-off with higher LCRB as PSD goes down after IMD spectrum gets wider than 1MHz</w:t>
      </w:r>
    </w:p>
    <w:p w14:paraId="49BF9C46" w14:textId="6EB9326B" w:rsidR="00554BEA" w:rsidRDefault="00554BEA" w:rsidP="006A4D84">
      <w:pPr>
        <w:pStyle w:val="ListParagraph"/>
        <w:numPr>
          <w:ilvl w:val="1"/>
          <w:numId w:val="25"/>
        </w:numPr>
        <w:spacing w:after="0"/>
        <w:jc w:val="both"/>
        <w:rPr>
          <w:b/>
        </w:rPr>
      </w:pPr>
      <w:r>
        <w:rPr>
          <w:b/>
        </w:rPr>
        <w:t xml:space="preserve">For LTE since the </w:t>
      </w:r>
      <w:proofErr w:type="spellStart"/>
      <w:r>
        <w:rPr>
          <w:b/>
        </w:rPr>
        <w:t>the</w:t>
      </w:r>
      <w:proofErr w:type="spellEnd"/>
      <w:r>
        <w:rPr>
          <w:b/>
        </w:rPr>
        <w:t xml:space="preserve"> Image is 25dBc instead of 28dBc an additional 3dB </w:t>
      </w:r>
      <w:r w:rsidR="00AA3DE6">
        <w:rPr>
          <w:b/>
        </w:rPr>
        <w:t xml:space="preserve">IMD may be anticipated. To recover, 1dB additional </w:t>
      </w:r>
      <w:r>
        <w:rPr>
          <w:b/>
        </w:rPr>
        <w:t>back-off wi</w:t>
      </w:r>
      <w:r w:rsidR="00AA3DE6">
        <w:rPr>
          <w:b/>
        </w:rPr>
        <w:t>ll be needed</w:t>
      </w:r>
    </w:p>
    <w:p w14:paraId="5EA86EBA" w14:textId="18A0B8AD" w:rsidR="00CE36FE" w:rsidRDefault="00CE36FE" w:rsidP="00CE36FE">
      <w:pPr>
        <w:pStyle w:val="ListParagraph"/>
        <w:numPr>
          <w:ilvl w:val="0"/>
          <w:numId w:val="25"/>
        </w:numPr>
        <w:spacing w:after="0"/>
        <w:rPr>
          <w:b/>
        </w:rPr>
      </w:pPr>
      <w:r>
        <w:rPr>
          <w:b/>
        </w:rPr>
        <w:t>Large allocations behavior:</w:t>
      </w:r>
    </w:p>
    <w:p w14:paraId="2EB7DD10" w14:textId="5A611635" w:rsidR="00CE36FE" w:rsidRDefault="00CE36FE" w:rsidP="00CE36FE">
      <w:pPr>
        <w:pStyle w:val="ListParagraph"/>
        <w:numPr>
          <w:ilvl w:val="1"/>
          <w:numId w:val="25"/>
        </w:numPr>
        <w:spacing w:after="0"/>
        <w:jc w:val="both"/>
        <w:rPr>
          <w:b/>
        </w:rPr>
      </w:pPr>
      <w:r>
        <w:rPr>
          <w:b/>
        </w:rPr>
        <w:t xml:space="preserve">With </w:t>
      </w:r>
      <w:proofErr w:type="spellStart"/>
      <w:r>
        <w:rPr>
          <w:b/>
        </w:rPr>
        <w:t>RBstart</w:t>
      </w:r>
      <w:proofErr w:type="spellEnd"/>
      <w:r>
        <w:rPr>
          <w:b/>
        </w:rPr>
        <w:t xml:space="preserve"> increase or smaller LCRB, the ACLR1 region OOB overlap reduces and has lower requirement until ACLR1 no longer falls OOB</w:t>
      </w:r>
    </w:p>
    <w:p w14:paraId="5C35AD2C" w14:textId="6934DF98" w:rsidR="00A4685C" w:rsidRDefault="00A06E5E" w:rsidP="00CC6661">
      <w:pPr>
        <w:pStyle w:val="Heading3"/>
        <w:tabs>
          <w:tab w:val="num" w:pos="720"/>
          <w:tab w:val="left" w:pos="5940"/>
        </w:tabs>
        <w:spacing w:after="240"/>
        <w:ind w:left="720"/>
      </w:pPr>
      <w:r>
        <w:t>P</w:t>
      </w:r>
      <w:r w:rsidR="005F3FF1">
        <w:t xml:space="preserve">A </w:t>
      </w:r>
      <w:r w:rsidR="007F0F0F">
        <w:t>Emissions in</w:t>
      </w:r>
      <w:r w:rsidR="005F3FF1">
        <w:t xml:space="preserve"> 4 kHz Measurement </w:t>
      </w:r>
      <w:r w:rsidR="007F0F0F">
        <w:t>Bandwidth</w:t>
      </w:r>
    </w:p>
    <w:p w14:paraId="51D435E9" w14:textId="7E8E09DE" w:rsidR="00AA3DE6" w:rsidRDefault="00BB70FA" w:rsidP="00A06E5E">
      <w:r>
        <w:t xml:space="preserve">For the </w:t>
      </w:r>
      <w:r w:rsidR="003432E5">
        <w:t>-37dBm/4kHz requirement at the band lower edge (1627.5MHz)</w:t>
      </w:r>
      <w:r>
        <w:t xml:space="preserve">, Table 5 shows the 1RB0 margin at </w:t>
      </w:r>
      <w:r w:rsidR="00A06E5E">
        <w:t xml:space="preserve">the PA </w:t>
      </w:r>
      <w:r>
        <w:t>output and since the back-off required is high the PA was also measured at low voltage to assess ET and APT performance that are representative to real UE implementations</w:t>
      </w:r>
      <w:r w:rsidR="00CD3665">
        <w:t>.</w:t>
      </w:r>
      <w:r w:rsidR="00AA3DE6">
        <w:t xml:space="preserve"> Table 6 covers the same case for full allocation and the inner 1RB allocation for which the IMD3 with the LO falls at the band edge. </w:t>
      </w:r>
    </w:p>
    <w:p w14:paraId="3462DD1B" w14:textId="2A1D8090" w:rsidR="00A06E5E" w:rsidRPr="00E85FC4" w:rsidRDefault="00AA3DE6" w:rsidP="00A06E5E">
      <w:r>
        <w:t>Finally Table 7 provides measurements for the -28dBm/4kHz cases at 1</w:t>
      </w:r>
      <w:r w:rsidR="003432E5">
        <w:t>MHz from band edges.</w:t>
      </w:r>
    </w:p>
    <w:p w14:paraId="4DC61B03" w14:textId="1C772509" w:rsidR="00F8101F" w:rsidRDefault="00F8101F" w:rsidP="00F8101F">
      <w:pPr>
        <w:pStyle w:val="Caption"/>
        <w:keepNext/>
        <w:jc w:val="center"/>
      </w:pPr>
      <w:r>
        <w:lastRenderedPageBreak/>
        <w:t xml:space="preserve">Table </w:t>
      </w:r>
      <w:r w:rsidR="009C0E9B">
        <w:fldChar w:fldCharType="begin"/>
      </w:r>
      <w:r w:rsidR="009C0E9B">
        <w:instrText xml:space="preserve"> SEQ Table \* ARABIC </w:instrText>
      </w:r>
      <w:r w:rsidR="009C0E9B">
        <w:fldChar w:fldCharType="separate"/>
      </w:r>
      <w:r w:rsidR="00633A4B">
        <w:rPr>
          <w:noProof/>
        </w:rPr>
        <w:t>5</w:t>
      </w:r>
      <w:r w:rsidR="009C0E9B">
        <w:rPr>
          <w:noProof/>
        </w:rPr>
        <w:fldChar w:fldCharType="end"/>
      </w:r>
      <w:r>
        <w:t xml:space="preserve">: -37dBm/MHz </w:t>
      </w:r>
      <w:r w:rsidR="00633A4B">
        <w:t xml:space="preserve">at band edge </w:t>
      </w:r>
      <w:r>
        <w:t>emission margin for 1RB0 case</w:t>
      </w:r>
    </w:p>
    <w:p w14:paraId="019A38FC" w14:textId="36530C99" w:rsidR="00F8101F" w:rsidRDefault="00F8101F" w:rsidP="00F8101F">
      <w:pPr>
        <w:spacing w:after="0"/>
        <w:jc w:val="center"/>
        <w:rPr>
          <w:b/>
        </w:rPr>
      </w:pPr>
      <w:r w:rsidRPr="00F8101F">
        <w:rPr>
          <w:noProof/>
        </w:rPr>
        <w:drawing>
          <wp:inline distT="0" distB="0" distL="0" distR="0" wp14:anchorId="46B57650" wp14:editId="37DD0D46">
            <wp:extent cx="2202180" cy="30861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2180" cy="3086100"/>
                    </a:xfrm>
                    <a:prstGeom prst="rect">
                      <a:avLst/>
                    </a:prstGeom>
                    <a:noFill/>
                    <a:ln>
                      <a:noFill/>
                    </a:ln>
                  </pic:spPr>
                </pic:pic>
              </a:graphicData>
            </a:graphic>
          </wp:inline>
        </w:drawing>
      </w:r>
    </w:p>
    <w:p w14:paraId="1488BCF8" w14:textId="77777777" w:rsidR="00F8101F" w:rsidRDefault="00F8101F" w:rsidP="00CD3665">
      <w:pPr>
        <w:spacing w:after="0"/>
        <w:rPr>
          <w:b/>
        </w:rPr>
      </w:pPr>
    </w:p>
    <w:p w14:paraId="6D17BF74" w14:textId="13BBAA98" w:rsidR="00F8101F" w:rsidRDefault="00F8101F" w:rsidP="00772E25">
      <w:pPr>
        <w:pStyle w:val="Caption"/>
        <w:keepNext/>
        <w:spacing w:before="0"/>
        <w:jc w:val="center"/>
      </w:pPr>
      <w:r>
        <w:t xml:space="preserve">Table </w:t>
      </w:r>
      <w:r w:rsidR="009C0E9B">
        <w:fldChar w:fldCharType="begin"/>
      </w:r>
      <w:r w:rsidR="009C0E9B">
        <w:instrText xml:space="preserve"> SEQ Table \* ARABIC </w:instrText>
      </w:r>
      <w:r w:rsidR="009C0E9B">
        <w:fldChar w:fldCharType="separate"/>
      </w:r>
      <w:r w:rsidR="00633A4B">
        <w:rPr>
          <w:noProof/>
        </w:rPr>
        <w:t>6</w:t>
      </w:r>
      <w:r w:rsidR="009C0E9B">
        <w:rPr>
          <w:noProof/>
        </w:rPr>
        <w:fldChar w:fldCharType="end"/>
      </w:r>
      <w:r w:rsidR="00633A4B">
        <w:t>:</w:t>
      </w:r>
      <w:r w:rsidR="00633A4B" w:rsidRPr="00633A4B">
        <w:t xml:space="preserve"> </w:t>
      </w:r>
      <w:r w:rsidR="00633A4B">
        <w:t>-37dBm/MHz at band edge emission margin for full allocation and inner 1RB cases</w:t>
      </w:r>
    </w:p>
    <w:p w14:paraId="5A3E2BC7" w14:textId="700063A8" w:rsidR="00F8101F" w:rsidRDefault="00F8101F" w:rsidP="00F8101F">
      <w:pPr>
        <w:spacing w:after="0"/>
        <w:jc w:val="center"/>
        <w:rPr>
          <w:b/>
        </w:rPr>
      </w:pPr>
      <w:r w:rsidRPr="00F8101F">
        <w:rPr>
          <w:noProof/>
        </w:rPr>
        <w:drawing>
          <wp:inline distT="0" distB="0" distL="0" distR="0" wp14:anchorId="38DEE252" wp14:editId="7C7A0435">
            <wp:extent cx="4175760" cy="1409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5760" cy="1409700"/>
                    </a:xfrm>
                    <a:prstGeom prst="rect">
                      <a:avLst/>
                    </a:prstGeom>
                    <a:noFill/>
                    <a:ln>
                      <a:noFill/>
                    </a:ln>
                  </pic:spPr>
                </pic:pic>
              </a:graphicData>
            </a:graphic>
          </wp:inline>
        </w:drawing>
      </w:r>
    </w:p>
    <w:p w14:paraId="65E39D1B" w14:textId="77777777" w:rsidR="00A01C8E" w:rsidRDefault="00A01C8E" w:rsidP="00F8101F">
      <w:pPr>
        <w:spacing w:after="0"/>
        <w:jc w:val="center"/>
        <w:rPr>
          <w:b/>
        </w:rPr>
      </w:pPr>
    </w:p>
    <w:p w14:paraId="20CC1DA2" w14:textId="15893742" w:rsidR="00A01C8E" w:rsidRPr="00CD3665" w:rsidRDefault="00A01C8E" w:rsidP="00A01C8E">
      <w:pPr>
        <w:spacing w:after="0"/>
        <w:rPr>
          <w:b/>
        </w:rPr>
      </w:pPr>
      <w:r w:rsidRPr="00CD3665">
        <w:rPr>
          <w:b/>
        </w:rPr>
        <w:t>Observations</w:t>
      </w:r>
      <w:r w:rsidR="00AB3294">
        <w:rPr>
          <w:b/>
        </w:rPr>
        <w:t xml:space="preserve"> for the</w:t>
      </w:r>
      <w:r>
        <w:rPr>
          <w:b/>
        </w:rPr>
        <w:t xml:space="preserve"> -37dBm/4kHz </w:t>
      </w:r>
      <w:r w:rsidR="00AB3294">
        <w:rPr>
          <w:b/>
        </w:rPr>
        <w:t xml:space="preserve">at band edge </w:t>
      </w:r>
      <w:r>
        <w:rPr>
          <w:b/>
        </w:rPr>
        <w:t>case</w:t>
      </w:r>
      <w:r w:rsidRPr="00CD3665">
        <w:rPr>
          <w:b/>
        </w:rPr>
        <w:t xml:space="preserve">: </w:t>
      </w:r>
    </w:p>
    <w:p w14:paraId="51999276" w14:textId="564E4D32" w:rsidR="00A01C8E" w:rsidRDefault="00A01C8E" w:rsidP="00A01C8E">
      <w:pPr>
        <w:pStyle w:val="ListParagraph"/>
        <w:numPr>
          <w:ilvl w:val="0"/>
          <w:numId w:val="25"/>
        </w:numPr>
        <w:spacing w:after="0"/>
        <w:rPr>
          <w:b/>
        </w:rPr>
      </w:pPr>
      <w:r>
        <w:rPr>
          <w:b/>
        </w:rPr>
        <w:t xml:space="preserve">For the </w:t>
      </w:r>
      <w:r w:rsidR="00D271A4">
        <w:rPr>
          <w:b/>
        </w:rPr>
        <w:t>1RB0 cases in Table 5</w:t>
      </w:r>
      <w:r>
        <w:rPr>
          <w:b/>
        </w:rPr>
        <w:t>:</w:t>
      </w:r>
    </w:p>
    <w:p w14:paraId="6E1C40B1" w14:textId="71FCDDBD" w:rsidR="00D271A4" w:rsidRPr="00CD6757" w:rsidRDefault="00D271A4" w:rsidP="00CD6757">
      <w:pPr>
        <w:pStyle w:val="ListParagraph"/>
        <w:numPr>
          <w:ilvl w:val="1"/>
          <w:numId w:val="25"/>
        </w:numPr>
        <w:spacing w:after="0"/>
        <w:rPr>
          <w:b/>
        </w:rPr>
      </w:pPr>
      <w:r>
        <w:rPr>
          <w:b/>
        </w:rPr>
        <w:t xml:space="preserve">The 5MHz cases have higher back-off </w:t>
      </w:r>
      <w:r w:rsidR="00AA3DE6">
        <w:rPr>
          <w:b/>
        </w:rPr>
        <w:t>requirements</w:t>
      </w:r>
      <w:r>
        <w:rPr>
          <w:b/>
        </w:rPr>
        <w:t xml:space="preserve"> because </w:t>
      </w:r>
      <w:r w:rsidR="00AA3DE6">
        <w:rPr>
          <w:b/>
        </w:rPr>
        <w:t xml:space="preserve">they have </w:t>
      </w:r>
      <w:r>
        <w:rPr>
          <w:b/>
        </w:rPr>
        <w:t>the lowest guard band to the band edge. Given the high back-off value, the low voltage values should be used</w:t>
      </w:r>
      <w:r w:rsidR="00AA3DE6">
        <w:rPr>
          <w:b/>
        </w:rPr>
        <w:t xml:space="preserve"> and </w:t>
      </w:r>
      <w:r w:rsidRPr="00CD6757">
        <w:rPr>
          <w:b/>
        </w:rPr>
        <w:t>12dB back-off for CP-OFDM and 10dB for DFT-s-OFDM</w:t>
      </w:r>
      <w:r w:rsidR="00AA3DE6">
        <w:rPr>
          <w:b/>
        </w:rPr>
        <w:t xml:space="preserve"> are needed</w:t>
      </w:r>
    </w:p>
    <w:p w14:paraId="5746F9F4" w14:textId="0CD3902D" w:rsidR="00CD6757" w:rsidRDefault="00CD6757" w:rsidP="00CD6757">
      <w:pPr>
        <w:pStyle w:val="ListParagraph"/>
        <w:numPr>
          <w:ilvl w:val="1"/>
          <w:numId w:val="25"/>
        </w:numPr>
        <w:spacing w:after="0"/>
        <w:rPr>
          <w:b/>
        </w:rPr>
      </w:pPr>
      <w:r>
        <w:rPr>
          <w:b/>
        </w:rPr>
        <w:t xml:space="preserve">The 10MHz cases have about 3dB back-off in the measurements but it may be optimistic </w:t>
      </w:r>
      <w:r w:rsidR="0054167D">
        <w:rPr>
          <w:b/>
        </w:rPr>
        <w:t>because of aggressive windowing/filtering used and other implementations may have different filtering/EVM trade-off. A higher back-off may be needed</w:t>
      </w:r>
      <w:r w:rsidR="00AA3DE6">
        <w:rPr>
          <w:b/>
        </w:rPr>
        <w:t xml:space="preserve"> although the higher guard band helps</w:t>
      </w:r>
    </w:p>
    <w:p w14:paraId="10CD499F" w14:textId="55071CC9" w:rsidR="0054167D" w:rsidRPr="00CD6757" w:rsidRDefault="0054167D" w:rsidP="00CD6757">
      <w:pPr>
        <w:pStyle w:val="ListParagraph"/>
        <w:numPr>
          <w:ilvl w:val="1"/>
          <w:numId w:val="25"/>
        </w:numPr>
        <w:spacing w:after="0"/>
        <w:rPr>
          <w:b/>
        </w:rPr>
      </w:pPr>
      <w:r>
        <w:rPr>
          <w:b/>
        </w:rPr>
        <w:t>The back-off required for the 4kHz MBW is higher than</w:t>
      </w:r>
      <w:r w:rsidR="00554BEA">
        <w:rPr>
          <w:b/>
        </w:rPr>
        <w:t xml:space="preserve"> for 1MHz MBW cases for narrow allocations but this should be restricted to the edge allocations</w:t>
      </w:r>
    </w:p>
    <w:p w14:paraId="01AD4141" w14:textId="43FFB962" w:rsidR="0054167D" w:rsidRDefault="0054167D" w:rsidP="0054167D">
      <w:pPr>
        <w:pStyle w:val="ListParagraph"/>
        <w:numPr>
          <w:ilvl w:val="0"/>
          <w:numId w:val="25"/>
        </w:numPr>
        <w:spacing w:after="0"/>
        <w:rPr>
          <w:b/>
        </w:rPr>
      </w:pPr>
      <w:r>
        <w:rPr>
          <w:b/>
        </w:rPr>
        <w:t xml:space="preserve">For the full allocation cases in Table </w:t>
      </w:r>
      <w:r w:rsidR="00554BEA">
        <w:rPr>
          <w:b/>
        </w:rPr>
        <w:t>6</w:t>
      </w:r>
      <w:r>
        <w:rPr>
          <w:b/>
        </w:rPr>
        <w:t>:</w:t>
      </w:r>
    </w:p>
    <w:p w14:paraId="7CE05E1C" w14:textId="019231CD" w:rsidR="0054167D" w:rsidRDefault="00554BEA" w:rsidP="0054167D">
      <w:pPr>
        <w:pStyle w:val="ListParagraph"/>
        <w:numPr>
          <w:ilvl w:val="1"/>
          <w:numId w:val="25"/>
        </w:numPr>
        <w:spacing w:after="0"/>
        <w:rPr>
          <w:b/>
        </w:rPr>
      </w:pPr>
      <w:r>
        <w:rPr>
          <w:b/>
        </w:rPr>
        <w:t>MPR seems sufficient for this and the 1MHz MBW related back-off is limiting</w:t>
      </w:r>
    </w:p>
    <w:p w14:paraId="2B4DFE19" w14:textId="10528B88" w:rsidR="00554BEA" w:rsidRDefault="00554BEA" w:rsidP="00554BEA">
      <w:pPr>
        <w:pStyle w:val="ListParagraph"/>
        <w:numPr>
          <w:ilvl w:val="0"/>
          <w:numId w:val="25"/>
        </w:numPr>
        <w:spacing w:after="0"/>
        <w:rPr>
          <w:b/>
        </w:rPr>
      </w:pPr>
      <w:r>
        <w:rPr>
          <w:b/>
        </w:rPr>
        <w:t>For the inner 1RB cases in Table 6:</w:t>
      </w:r>
    </w:p>
    <w:p w14:paraId="6A19DB3F" w14:textId="2324D8BC" w:rsidR="00554BEA" w:rsidRDefault="00554BEA" w:rsidP="00554BEA">
      <w:pPr>
        <w:pStyle w:val="ListParagraph"/>
        <w:numPr>
          <w:ilvl w:val="1"/>
          <w:numId w:val="25"/>
        </w:numPr>
        <w:spacing w:after="0"/>
        <w:rPr>
          <w:b/>
        </w:rPr>
      </w:pPr>
      <w:r>
        <w:rPr>
          <w:b/>
        </w:rPr>
        <w:t>The IMD3 of the allocation and the LO fall at cell edge</w:t>
      </w:r>
    </w:p>
    <w:p w14:paraId="74DED1D5" w14:textId="173C2000" w:rsidR="00554BEA" w:rsidRDefault="00554BEA" w:rsidP="00554BEA">
      <w:pPr>
        <w:pStyle w:val="ListParagraph"/>
        <w:numPr>
          <w:ilvl w:val="1"/>
          <w:numId w:val="25"/>
        </w:numPr>
        <w:spacing w:after="0"/>
        <w:rPr>
          <w:b/>
        </w:rPr>
      </w:pPr>
      <w:r>
        <w:rPr>
          <w:b/>
        </w:rPr>
        <w:t>For the 5MHz case it happens for 1RB8 and 1RB17 for the 10MHz case</w:t>
      </w:r>
    </w:p>
    <w:p w14:paraId="0A3B125D" w14:textId="154633EC" w:rsidR="00554BEA" w:rsidRDefault="00554BEA" w:rsidP="00554BEA">
      <w:pPr>
        <w:pStyle w:val="ListParagraph"/>
        <w:numPr>
          <w:ilvl w:val="1"/>
          <w:numId w:val="25"/>
        </w:numPr>
        <w:spacing w:after="0"/>
        <w:rPr>
          <w:b/>
        </w:rPr>
      </w:pPr>
      <w:r>
        <w:rPr>
          <w:b/>
        </w:rPr>
        <w:t xml:space="preserve">For NR at least 1dB back-off is needed </w:t>
      </w:r>
      <w:r w:rsidR="005A7259">
        <w:rPr>
          <w:b/>
        </w:rPr>
        <w:t xml:space="preserve">for CP-OFDM </w:t>
      </w:r>
      <w:r w:rsidR="00AA3DE6">
        <w:rPr>
          <w:b/>
        </w:rPr>
        <w:t xml:space="preserve">and </w:t>
      </w:r>
      <w:r w:rsidR="003432E5">
        <w:rPr>
          <w:b/>
        </w:rPr>
        <w:t xml:space="preserve">for </w:t>
      </w:r>
      <w:r w:rsidR="00AA3DE6">
        <w:rPr>
          <w:b/>
        </w:rPr>
        <w:t>DFT-s-OFDM margin is good thus</w:t>
      </w:r>
      <w:r w:rsidR="005A7259">
        <w:rPr>
          <w:b/>
        </w:rPr>
        <w:t xml:space="preserve"> fo</w:t>
      </w:r>
      <w:r w:rsidR="00AA3DE6">
        <w:rPr>
          <w:b/>
        </w:rPr>
        <w:t>r LTE with 3dB higher LO level</w:t>
      </w:r>
      <w:r w:rsidR="003432E5">
        <w:rPr>
          <w:b/>
        </w:rPr>
        <w:t xml:space="preserve"> requiring 1dB additional back-off to compensate, </w:t>
      </w:r>
      <w:r w:rsidR="00AA3DE6">
        <w:rPr>
          <w:b/>
        </w:rPr>
        <w:t xml:space="preserve">additional </w:t>
      </w:r>
      <w:r w:rsidR="003432E5">
        <w:rPr>
          <w:b/>
        </w:rPr>
        <w:t xml:space="preserve">back-off </w:t>
      </w:r>
      <w:r w:rsidR="00AA3DE6">
        <w:rPr>
          <w:b/>
        </w:rPr>
        <w:t>may not be needed</w:t>
      </w:r>
      <w:r w:rsidR="003432E5">
        <w:rPr>
          <w:b/>
        </w:rPr>
        <w:t xml:space="preserve"> or should be small</w:t>
      </w:r>
    </w:p>
    <w:p w14:paraId="33D039E6" w14:textId="77777777" w:rsidR="00633A4B" w:rsidRDefault="00633A4B" w:rsidP="00F8101F">
      <w:pPr>
        <w:spacing w:after="0"/>
        <w:jc w:val="center"/>
        <w:rPr>
          <w:b/>
        </w:rPr>
      </w:pPr>
    </w:p>
    <w:p w14:paraId="1F3FF826" w14:textId="612E15E0" w:rsidR="00633A4B" w:rsidRDefault="00633A4B" w:rsidP="00772E25">
      <w:pPr>
        <w:pStyle w:val="Caption"/>
        <w:keepNext/>
        <w:spacing w:before="0"/>
        <w:jc w:val="center"/>
      </w:pPr>
      <w:r>
        <w:t xml:space="preserve">Table </w:t>
      </w:r>
      <w:r w:rsidR="009C0E9B">
        <w:fldChar w:fldCharType="begin"/>
      </w:r>
      <w:r w:rsidR="009C0E9B">
        <w:instrText xml:space="preserve"> SEQ Table \* ARABIC </w:instrText>
      </w:r>
      <w:r w:rsidR="009C0E9B">
        <w:fldChar w:fldCharType="separate"/>
      </w:r>
      <w:r>
        <w:rPr>
          <w:noProof/>
        </w:rPr>
        <w:t>7</w:t>
      </w:r>
      <w:r w:rsidR="009C0E9B">
        <w:rPr>
          <w:noProof/>
        </w:rPr>
        <w:fldChar w:fldCharType="end"/>
      </w:r>
      <w:r>
        <w:t>: -28dBm/MHz at 1MH</w:t>
      </w:r>
      <w:r w:rsidR="00AB3294">
        <w:t>z</w:t>
      </w:r>
      <w:r>
        <w:t xml:space="preserve"> of band edge emission margin for full allocation and 1RB0 cases</w:t>
      </w:r>
    </w:p>
    <w:p w14:paraId="5649F8FB" w14:textId="3CD6B3C7" w:rsidR="00633A4B" w:rsidRDefault="00633A4B" w:rsidP="00F8101F">
      <w:pPr>
        <w:spacing w:after="0"/>
        <w:jc w:val="center"/>
        <w:rPr>
          <w:b/>
        </w:rPr>
      </w:pPr>
      <w:r w:rsidRPr="00633A4B">
        <w:rPr>
          <w:noProof/>
        </w:rPr>
        <w:drawing>
          <wp:inline distT="0" distB="0" distL="0" distR="0" wp14:anchorId="3141E703" wp14:editId="43700E05">
            <wp:extent cx="3657600" cy="1409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1409700"/>
                    </a:xfrm>
                    <a:prstGeom prst="rect">
                      <a:avLst/>
                    </a:prstGeom>
                    <a:noFill/>
                    <a:ln>
                      <a:noFill/>
                    </a:ln>
                  </pic:spPr>
                </pic:pic>
              </a:graphicData>
            </a:graphic>
          </wp:inline>
        </w:drawing>
      </w:r>
    </w:p>
    <w:p w14:paraId="44C59C62" w14:textId="77777777" w:rsidR="00A01C8E" w:rsidRDefault="00A01C8E" w:rsidP="00A01C8E">
      <w:pPr>
        <w:spacing w:after="0"/>
        <w:rPr>
          <w:b/>
        </w:rPr>
      </w:pPr>
    </w:p>
    <w:p w14:paraId="43D3E996" w14:textId="00C4A3CA" w:rsidR="005A7259" w:rsidRPr="005A7259" w:rsidRDefault="00A01C8E" w:rsidP="00E23F26">
      <w:pPr>
        <w:spacing w:after="0"/>
        <w:rPr>
          <w:b/>
        </w:rPr>
      </w:pPr>
      <w:r w:rsidRPr="00CD3665">
        <w:rPr>
          <w:b/>
        </w:rPr>
        <w:t>Observations</w:t>
      </w:r>
      <w:r>
        <w:rPr>
          <w:b/>
        </w:rPr>
        <w:t xml:space="preserve"> for the -</w:t>
      </w:r>
      <w:r w:rsidR="00AB3294">
        <w:rPr>
          <w:b/>
        </w:rPr>
        <w:t>28</w:t>
      </w:r>
      <w:r>
        <w:rPr>
          <w:b/>
        </w:rPr>
        <w:t xml:space="preserve">dBm/4kHz </w:t>
      </w:r>
      <w:r w:rsidR="00AB3294">
        <w:rPr>
          <w:b/>
        </w:rPr>
        <w:t xml:space="preserve">at 1 MHz </w:t>
      </w:r>
      <w:r>
        <w:rPr>
          <w:b/>
        </w:rPr>
        <w:t>case</w:t>
      </w:r>
      <w:r w:rsidRPr="00CD3665">
        <w:rPr>
          <w:b/>
        </w:rPr>
        <w:t xml:space="preserve">: </w:t>
      </w:r>
      <w:r w:rsidR="005A7259">
        <w:rPr>
          <w:b/>
        </w:rPr>
        <w:t>At full p</w:t>
      </w:r>
      <w:r w:rsidR="003432E5">
        <w:rPr>
          <w:b/>
        </w:rPr>
        <w:t>ower there is margin to this OOB requirement</w:t>
      </w:r>
    </w:p>
    <w:p w14:paraId="165F92DA" w14:textId="0F1E289D" w:rsidR="00126D9A" w:rsidRDefault="00126D9A" w:rsidP="00126D9A">
      <w:pPr>
        <w:pStyle w:val="Heading2"/>
        <w:spacing w:after="240"/>
        <w:rPr>
          <w:sz w:val="36"/>
          <w:lang w:val="en-US"/>
        </w:rPr>
      </w:pPr>
      <w:r>
        <w:rPr>
          <w:sz w:val="36"/>
          <w:lang w:val="en-US"/>
        </w:rPr>
        <w:t>A-MPR proposals</w:t>
      </w:r>
    </w:p>
    <w:p w14:paraId="32536A31" w14:textId="77777777" w:rsidR="005A339C" w:rsidRDefault="005A7259" w:rsidP="005A339C">
      <w:pPr>
        <w:spacing w:after="0"/>
      </w:pPr>
      <w:r>
        <w:t>Based on the above measurements the corner cases for QPSK A-MPR, the worst case A-MPR and regions can be derived</w:t>
      </w:r>
      <w:r w:rsidR="005A339C">
        <w:t>:</w:t>
      </w:r>
    </w:p>
    <w:p w14:paraId="559103DB" w14:textId="3FC1BB5D" w:rsidR="005A339C" w:rsidRDefault="005A339C" w:rsidP="005A339C">
      <w:pPr>
        <w:pStyle w:val="ListParagraph"/>
        <w:numPr>
          <w:ilvl w:val="0"/>
          <w:numId w:val="25"/>
        </w:numPr>
      </w:pPr>
      <w:r>
        <w:t>Narrow lower edge allocation with the h</w:t>
      </w:r>
      <w:r w:rsidR="003432E5">
        <w:t>ighest AMPR related to -37dBm/4k</w:t>
      </w:r>
      <w:r>
        <w:t>Hz at 1727.5MHz</w:t>
      </w:r>
    </w:p>
    <w:p w14:paraId="1E2AC72E" w14:textId="35EE6314" w:rsidR="006E4878" w:rsidRDefault="00C05856" w:rsidP="006E4878">
      <w:pPr>
        <w:pStyle w:val="ListParagraph"/>
        <w:numPr>
          <w:ilvl w:val="1"/>
          <w:numId w:val="25"/>
        </w:numPr>
      </w:pPr>
      <w:r>
        <w:t>F</w:t>
      </w:r>
      <w:r w:rsidR="006E4878">
        <w:t>or LTE 10MHz with higher guard band</w:t>
      </w:r>
      <w:r>
        <w:t>, A-MPR should reduce significantly</w:t>
      </w:r>
    </w:p>
    <w:p w14:paraId="1AB53CE8" w14:textId="56959495" w:rsidR="00C05856" w:rsidRDefault="00C05856" w:rsidP="006E4878">
      <w:pPr>
        <w:pStyle w:val="ListParagraph"/>
        <w:numPr>
          <w:ilvl w:val="1"/>
          <w:numId w:val="25"/>
        </w:numPr>
      </w:pPr>
      <w:r>
        <w:t>For LTE 5MHz guard band is 7.5KHz higher but given the spectrum steepness and 4kHz MBW the difference may still be significant</w:t>
      </w:r>
    </w:p>
    <w:p w14:paraId="102ADA95" w14:textId="6876F47C" w:rsidR="006E4878" w:rsidRDefault="00C05856" w:rsidP="006E4878">
      <w:pPr>
        <w:pStyle w:val="ListParagraph"/>
        <w:numPr>
          <w:ilvl w:val="1"/>
          <w:numId w:val="25"/>
        </w:numPr>
      </w:pPr>
      <w:r>
        <w:t xml:space="preserve">For </w:t>
      </w:r>
      <w:r w:rsidR="006E4878">
        <w:t>NR higher SCS</w:t>
      </w:r>
      <w:r>
        <w:t>,</w:t>
      </w:r>
      <w:r w:rsidR="006E4878">
        <w:t xml:space="preserve"> with higher guard band and lower PSD</w:t>
      </w:r>
      <w:r>
        <w:t>, significantly lower A-MPR is expected</w:t>
      </w:r>
    </w:p>
    <w:p w14:paraId="7C2209BB" w14:textId="329116BE" w:rsidR="005A339C" w:rsidRDefault="005A339C" w:rsidP="005A339C">
      <w:pPr>
        <w:pStyle w:val="ListParagraph"/>
        <w:numPr>
          <w:ilvl w:val="0"/>
          <w:numId w:val="25"/>
        </w:numPr>
      </w:pPr>
      <w:r>
        <w:t>1RB inner at 1/4</w:t>
      </w:r>
      <w:r w:rsidRPr="005A339C">
        <w:rPr>
          <w:vertAlign w:val="superscript"/>
        </w:rPr>
        <w:t>th</w:t>
      </w:r>
      <w:r>
        <w:t xml:space="preserve"> </w:t>
      </w:r>
      <w:proofErr w:type="spellStart"/>
      <w:r>
        <w:t>RBstart</w:t>
      </w:r>
      <w:proofErr w:type="spellEnd"/>
      <w:r>
        <w:t xml:space="preserve"> IMD3 related to -37dBm/4KHz at 1727.5MHz with 1dB</w:t>
      </w:r>
    </w:p>
    <w:p w14:paraId="5156AEF8" w14:textId="12CC2FC9" w:rsidR="006E4878" w:rsidRDefault="003432E5" w:rsidP="006E4878">
      <w:pPr>
        <w:pStyle w:val="ListParagraph"/>
        <w:numPr>
          <w:ilvl w:val="1"/>
          <w:numId w:val="25"/>
        </w:numPr>
      </w:pPr>
      <w:r>
        <w:t>LTE requires ~1</w:t>
      </w:r>
      <w:r w:rsidR="006E4878">
        <w:t>dB higher back-off</w:t>
      </w:r>
      <w:r w:rsidR="00E23F26">
        <w:t xml:space="preserve"> but given DFT-s-OFDM margins A-MPR may be small</w:t>
      </w:r>
    </w:p>
    <w:p w14:paraId="4D875D65" w14:textId="044DD4D7" w:rsidR="006E4878" w:rsidRDefault="006E4878" w:rsidP="006E4878">
      <w:pPr>
        <w:pStyle w:val="ListParagraph"/>
        <w:numPr>
          <w:ilvl w:val="1"/>
          <w:numId w:val="25"/>
        </w:numPr>
      </w:pPr>
      <w:r>
        <w:t>NR Higher SCS should be OK with lower PSD</w:t>
      </w:r>
    </w:p>
    <w:p w14:paraId="6286C1B7" w14:textId="30FED1C2" w:rsidR="005A7259" w:rsidRDefault="005A339C" w:rsidP="005A339C">
      <w:pPr>
        <w:pStyle w:val="ListParagraph"/>
        <w:numPr>
          <w:ilvl w:val="0"/>
          <w:numId w:val="25"/>
        </w:numPr>
      </w:pPr>
      <w:r>
        <w:t xml:space="preserve">Narrow allocation </w:t>
      </w:r>
      <w:r w:rsidR="006E4878">
        <w:t>IMD3 with image falling OOB in 1MHz MBW cases will require moderate MPR</w:t>
      </w:r>
    </w:p>
    <w:p w14:paraId="741423F4" w14:textId="6A592E37" w:rsidR="006E4878" w:rsidRDefault="006E4878" w:rsidP="006E4878">
      <w:pPr>
        <w:pStyle w:val="ListParagraph"/>
        <w:numPr>
          <w:ilvl w:val="1"/>
          <w:numId w:val="25"/>
        </w:numPr>
      </w:pPr>
      <w:r>
        <w:t xml:space="preserve">LTE requires </w:t>
      </w:r>
      <w:r w:rsidR="00E23F26">
        <w:t>~1</w:t>
      </w:r>
      <w:r>
        <w:t>dB higher back-off</w:t>
      </w:r>
    </w:p>
    <w:p w14:paraId="3AC1D7BE" w14:textId="4CEE2946" w:rsidR="006E4878" w:rsidRDefault="00690E45" w:rsidP="00690E45">
      <w:pPr>
        <w:pStyle w:val="ListParagraph"/>
        <w:numPr>
          <w:ilvl w:val="1"/>
          <w:numId w:val="25"/>
        </w:numPr>
      </w:pPr>
      <w:r>
        <w:t>NR higher SCS with IMD width &gt;1MHz should benefit from lower PSD</w:t>
      </w:r>
    </w:p>
    <w:p w14:paraId="6EC78F57" w14:textId="78EF6910" w:rsidR="00690E45" w:rsidRDefault="00690E45" w:rsidP="00690E45">
      <w:pPr>
        <w:pStyle w:val="ListParagraph"/>
        <w:numPr>
          <w:ilvl w:val="0"/>
          <w:numId w:val="25"/>
        </w:numPr>
      </w:pPr>
      <w:r>
        <w:t>Full and large allocations with ACLR1 falling OOB in 1MHz MBW cases will require significant MPR</w:t>
      </w:r>
    </w:p>
    <w:p w14:paraId="78D3013A" w14:textId="41D54665" w:rsidR="00690E45" w:rsidRDefault="00690E45" w:rsidP="00690E45">
      <w:pPr>
        <w:pStyle w:val="ListParagraph"/>
        <w:numPr>
          <w:ilvl w:val="1"/>
          <w:numId w:val="25"/>
        </w:numPr>
      </w:pPr>
      <w:r>
        <w:t>LTE should be similar</w:t>
      </w:r>
    </w:p>
    <w:p w14:paraId="15BB1186" w14:textId="17C26DEA" w:rsidR="00690E45" w:rsidRDefault="00690E45" w:rsidP="00690E45">
      <w:pPr>
        <w:pStyle w:val="ListParagraph"/>
        <w:numPr>
          <w:ilvl w:val="1"/>
          <w:numId w:val="25"/>
        </w:numPr>
      </w:pPr>
      <w:r>
        <w:t>NR higher SCS should be similar</w:t>
      </w:r>
    </w:p>
    <w:p w14:paraId="577CDDBE" w14:textId="56C3E892" w:rsidR="00690E45" w:rsidRDefault="00690E45" w:rsidP="00690E45">
      <w:pPr>
        <w:pStyle w:val="ListParagraph"/>
        <w:numPr>
          <w:ilvl w:val="1"/>
          <w:numId w:val="25"/>
        </w:numPr>
      </w:pPr>
      <w:proofErr w:type="spellStart"/>
      <w:r>
        <w:t>RBstart</w:t>
      </w:r>
      <w:proofErr w:type="spellEnd"/>
      <w:r>
        <w:t xml:space="preserve"> &gt;2/5</w:t>
      </w:r>
      <w:r w:rsidRPr="00690E45">
        <w:rPr>
          <w:vertAlign w:val="superscript"/>
        </w:rPr>
        <w:t>th</w:t>
      </w:r>
      <w:r>
        <w:t xml:space="preserve"> NRB should have low A-MPR since largest part of ACLR1 is in band</w:t>
      </w:r>
    </w:p>
    <w:p w14:paraId="18FF7B02" w14:textId="458D442A" w:rsidR="00690E45" w:rsidRDefault="00690E45" w:rsidP="00690E45">
      <w:pPr>
        <w:pStyle w:val="ListParagraph"/>
        <w:numPr>
          <w:ilvl w:val="0"/>
          <w:numId w:val="25"/>
        </w:numPr>
      </w:pPr>
      <w:r>
        <w:t>Only lowest 5MHz and 10MHz channels have AMPR</w:t>
      </w:r>
    </w:p>
    <w:p w14:paraId="51A58D1E" w14:textId="77777777" w:rsidR="00E23F26" w:rsidRDefault="003A40A0" w:rsidP="003A40A0">
      <w:pPr>
        <w:spacing w:after="0"/>
        <w:rPr>
          <w:b/>
        </w:rPr>
      </w:pPr>
      <w:r w:rsidRPr="003A40A0">
        <w:rPr>
          <w:b/>
        </w:rPr>
        <w:t xml:space="preserve">Proposal: </w:t>
      </w:r>
    </w:p>
    <w:p w14:paraId="1E0FD20A" w14:textId="5723A8AA" w:rsidR="003A40A0" w:rsidRDefault="003A40A0" w:rsidP="00E23F26">
      <w:pPr>
        <w:pStyle w:val="ListParagraph"/>
        <w:numPr>
          <w:ilvl w:val="0"/>
          <w:numId w:val="43"/>
        </w:numPr>
        <w:spacing w:after="0"/>
        <w:rPr>
          <w:b/>
        </w:rPr>
      </w:pPr>
      <w:r w:rsidRPr="00E23F26">
        <w:rPr>
          <w:b/>
        </w:rPr>
        <w:t>The following table can be used as worst case A-MPR for corner cases that can be used for A-MPR of FDD band n24, SUL band n99 and LTE band 24</w:t>
      </w:r>
      <w:r w:rsidR="00E23F26" w:rsidRPr="00E23F26">
        <w:rPr>
          <w:b/>
        </w:rPr>
        <w:t>.</w:t>
      </w:r>
    </w:p>
    <w:p w14:paraId="5C28DC3C" w14:textId="1B67EF26" w:rsidR="00E23F26" w:rsidRDefault="00E23F26" w:rsidP="00E23F26">
      <w:pPr>
        <w:pStyle w:val="ListParagraph"/>
        <w:numPr>
          <w:ilvl w:val="0"/>
          <w:numId w:val="43"/>
        </w:numPr>
        <w:spacing w:after="0"/>
        <w:rPr>
          <w:b/>
        </w:rPr>
      </w:pPr>
      <w:r>
        <w:rPr>
          <w:b/>
        </w:rPr>
        <w:t>For NR: back-off = max(MPR,A-MPR) and the table can be used as is</w:t>
      </w:r>
    </w:p>
    <w:p w14:paraId="2695CDC1" w14:textId="04BCEB27" w:rsidR="00E23F26" w:rsidRPr="00E23F26" w:rsidRDefault="00E23F26" w:rsidP="00E23F26">
      <w:pPr>
        <w:pStyle w:val="ListParagraph"/>
        <w:numPr>
          <w:ilvl w:val="0"/>
          <w:numId w:val="43"/>
        </w:numPr>
        <w:spacing w:after="0"/>
        <w:rPr>
          <w:b/>
        </w:rPr>
      </w:pPr>
      <w:r>
        <w:rPr>
          <w:b/>
        </w:rPr>
        <w:t>For LTE: back off = MPR + AMPR thus the number in the table with additional corrections proposed need to account for MPR</w:t>
      </w:r>
    </w:p>
    <w:tbl>
      <w:tblPr>
        <w:tblStyle w:val="TableGrid"/>
        <w:tblW w:w="10337" w:type="dxa"/>
        <w:jc w:val="center"/>
        <w:tblLook w:val="04A0" w:firstRow="1" w:lastRow="0" w:firstColumn="1" w:lastColumn="0" w:noHBand="0" w:noVBand="1"/>
      </w:tblPr>
      <w:tblGrid>
        <w:gridCol w:w="1800"/>
        <w:gridCol w:w="797"/>
        <w:gridCol w:w="810"/>
        <w:gridCol w:w="810"/>
        <w:gridCol w:w="720"/>
        <w:gridCol w:w="3098"/>
        <w:gridCol w:w="2302"/>
      </w:tblGrid>
      <w:tr w:rsidR="003A40A0" w14:paraId="31A5DCCF" w14:textId="77777777" w:rsidTr="00E23F26">
        <w:trPr>
          <w:jc w:val="center"/>
        </w:trPr>
        <w:tc>
          <w:tcPr>
            <w:tcW w:w="1800" w:type="dxa"/>
            <w:vMerge w:val="restart"/>
            <w:vAlign w:val="center"/>
          </w:tcPr>
          <w:p w14:paraId="5FF997A2" w14:textId="77777777" w:rsidR="003A40A0" w:rsidRDefault="003A40A0" w:rsidP="00D431C4">
            <w:pPr>
              <w:spacing w:after="0"/>
              <w:jc w:val="center"/>
              <w:rPr>
                <w:b/>
              </w:rPr>
            </w:pPr>
            <w:r>
              <w:rPr>
                <w:b/>
              </w:rPr>
              <w:t>Corner cases</w:t>
            </w:r>
          </w:p>
        </w:tc>
        <w:tc>
          <w:tcPr>
            <w:tcW w:w="1607" w:type="dxa"/>
            <w:gridSpan w:val="2"/>
            <w:vAlign w:val="center"/>
          </w:tcPr>
          <w:p w14:paraId="053AFF11" w14:textId="77777777" w:rsidR="003A40A0" w:rsidRDefault="003A40A0" w:rsidP="00D431C4">
            <w:pPr>
              <w:spacing w:after="0"/>
              <w:jc w:val="center"/>
              <w:rPr>
                <w:b/>
              </w:rPr>
            </w:pPr>
            <w:r>
              <w:rPr>
                <w:b/>
              </w:rPr>
              <w:t>Lowest 5MHz channel</w:t>
            </w:r>
          </w:p>
        </w:tc>
        <w:tc>
          <w:tcPr>
            <w:tcW w:w="1530" w:type="dxa"/>
            <w:gridSpan w:val="2"/>
            <w:vAlign w:val="center"/>
          </w:tcPr>
          <w:p w14:paraId="4357E127" w14:textId="77777777" w:rsidR="003A40A0" w:rsidRDefault="003A40A0" w:rsidP="00D431C4">
            <w:pPr>
              <w:spacing w:after="0"/>
              <w:jc w:val="center"/>
              <w:rPr>
                <w:b/>
              </w:rPr>
            </w:pPr>
            <w:r>
              <w:rPr>
                <w:b/>
              </w:rPr>
              <w:t>Lowest 10MHz channel</w:t>
            </w:r>
          </w:p>
        </w:tc>
        <w:tc>
          <w:tcPr>
            <w:tcW w:w="3098" w:type="dxa"/>
            <w:vMerge w:val="restart"/>
            <w:vAlign w:val="center"/>
          </w:tcPr>
          <w:p w14:paraId="1D6574EE" w14:textId="77777777" w:rsidR="003A40A0" w:rsidRDefault="003A40A0" w:rsidP="00D431C4">
            <w:pPr>
              <w:spacing w:after="0"/>
              <w:jc w:val="center"/>
              <w:rPr>
                <w:b/>
              </w:rPr>
            </w:pPr>
            <w:r>
              <w:rPr>
                <w:b/>
              </w:rPr>
              <w:t>LTE adjustment</w:t>
            </w:r>
          </w:p>
        </w:tc>
        <w:tc>
          <w:tcPr>
            <w:tcW w:w="2302" w:type="dxa"/>
            <w:vMerge w:val="restart"/>
            <w:vAlign w:val="center"/>
          </w:tcPr>
          <w:p w14:paraId="5843872E" w14:textId="77777777" w:rsidR="003A40A0" w:rsidRDefault="003A40A0" w:rsidP="00D431C4">
            <w:pPr>
              <w:spacing w:after="0"/>
              <w:jc w:val="center"/>
              <w:rPr>
                <w:b/>
              </w:rPr>
            </w:pPr>
            <w:r>
              <w:rPr>
                <w:b/>
              </w:rPr>
              <w:t>Higher SCS adjustment</w:t>
            </w:r>
          </w:p>
        </w:tc>
      </w:tr>
      <w:tr w:rsidR="003A40A0" w14:paraId="23A53025" w14:textId="77777777" w:rsidTr="00E23F26">
        <w:trPr>
          <w:jc w:val="center"/>
        </w:trPr>
        <w:tc>
          <w:tcPr>
            <w:tcW w:w="1800" w:type="dxa"/>
            <w:vMerge/>
            <w:vAlign w:val="center"/>
          </w:tcPr>
          <w:p w14:paraId="4314B6A8" w14:textId="77777777" w:rsidR="003A40A0" w:rsidRDefault="003A40A0" w:rsidP="00D431C4">
            <w:pPr>
              <w:spacing w:after="0"/>
              <w:jc w:val="center"/>
              <w:rPr>
                <w:b/>
              </w:rPr>
            </w:pPr>
          </w:p>
        </w:tc>
        <w:tc>
          <w:tcPr>
            <w:tcW w:w="797" w:type="dxa"/>
            <w:vAlign w:val="center"/>
          </w:tcPr>
          <w:p w14:paraId="0CB0337C" w14:textId="77777777" w:rsidR="003A40A0" w:rsidRDefault="003A40A0" w:rsidP="00D431C4">
            <w:pPr>
              <w:spacing w:after="0"/>
              <w:jc w:val="center"/>
              <w:rPr>
                <w:b/>
              </w:rPr>
            </w:pPr>
            <w:r>
              <w:rPr>
                <w:b/>
              </w:rPr>
              <w:t>CP</w:t>
            </w:r>
          </w:p>
        </w:tc>
        <w:tc>
          <w:tcPr>
            <w:tcW w:w="810" w:type="dxa"/>
            <w:vAlign w:val="center"/>
          </w:tcPr>
          <w:p w14:paraId="5EB3D777" w14:textId="77777777" w:rsidR="003A40A0" w:rsidRDefault="003A40A0" w:rsidP="00D431C4">
            <w:pPr>
              <w:spacing w:after="0"/>
              <w:jc w:val="center"/>
              <w:rPr>
                <w:b/>
              </w:rPr>
            </w:pPr>
            <w:r>
              <w:rPr>
                <w:b/>
              </w:rPr>
              <w:t>DFT</w:t>
            </w:r>
          </w:p>
        </w:tc>
        <w:tc>
          <w:tcPr>
            <w:tcW w:w="810" w:type="dxa"/>
            <w:vAlign w:val="center"/>
          </w:tcPr>
          <w:p w14:paraId="345DCBA5" w14:textId="77777777" w:rsidR="003A40A0" w:rsidRDefault="003A40A0" w:rsidP="00D431C4">
            <w:pPr>
              <w:spacing w:after="0"/>
              <w:jc w:val="center"/>
              <w:rPr>
                <w:b/>
              </w:rPr>
            </w:pPr>
            <w:r>
              <w:rPr>
                <w:b/>
              </w:rPr>
              <w:t>CP</w:t>
            </w:r>
          </w:p>
        </w:tc>
        <w:tc>
          <w:tcPr>
            <w:tcW w:w="720" w:type="dxa"/>
            <w:vAlign w:val="center"/>
          </w:tcPr>
          <w:p w14:paraId="0D5A4380" w14:textId="77777777" w:rsidR="003A40A0" w:rsidRDefault="003A40A0" w:rsidP="00D431C4">
            <w:pPr>
              <w:spacing w:after="0"/>
              <w:jc w:val="center"/>
              <w:rPr>
                <w:b/>
              </w:rPr>
            </w:pPr>
            <w:r>
              <w:rPr>
                <w:b/>
              </w:rPr>
              <w:t>DFT</w:t>
            </w:r>
          </w:p>
        </w:tc>
        <w:tc>
          <w:tcPr>
            <w:tcW w:w="3098" w:type="dxa"/>
            <w:vMerge/>
            <w:vAlign w:val="center"/>
          </w:tcPr>
          <w:p w14:paraId="5ADC2EB6" w14:textId="77777777" w:rsidR="003A40A0" w:rsidRDefault="003A40A0" w:rsidP="00D431C4">
            <w:pPr>
              <w:spacing w:after="0"/>
              <w:jc w:val="center"/>
              <w:rPr>
                <w:b/>
              </w:rPr>
            </w:pPr>
          </w:p>
        </w:tc>
        <w:tc>
          <w:tcPr>
            <w:tcW w:w="2302" w:type="dxa"/>
            <w:vMerge/>
            <w:vAlign w:val="center"/>
          </w:tcPr>
          <w:p w14:paraId="4BF8D236" w14:textId="77777777" w:rsidR="003A40A0" w:rsidRDefault="003A40A0" w:rsidP="00D431C4">
            <w:pPr>
              <w:spacing w:after="0"/>
              <w:jc w:val="center"/>
              <w:rPr>
                <w:b/>
              </w:rPr>
            </w:pPr>
          </w:p>
        </w:tc>
      </w:tr>
      <w:tr w:rsidR="003A40A0" w14:paraId="2947BF94" w14:textId="77777777" w:rsidTr="00E23F26">
        <w:trPr>
          <w:jc w:val="center"/>
        </w:trPr>
        <w:tc>
          <w:tcPr>
            <w:tcW w:w="1800" w:type="dxa"/>
            <w:vAlign w:val="center"/>
          </w:tcPr>
          <w:p w14:paraId="1334BCB5" w14:textId="77777777" w:rsidR="003A40A0" w:rsidRDefault="003A40A0" w:rsidP="00D431C4">
            <w:pPr>
              <w:spacing w:after="0"/>
              <w:jc w:val="center"/>
              <w:rPr>
                <w:b/>
              </w:rPr>
            </w:pPr>
            <w:r>
              <w:rPr>
                <w:b/>
              </w:rPr>
              <w:t>1R0 -37dBm/4kHz limit</w:t>
            </w:r>
          </w:p>
        </w:tc>
        <w:tc>
          <w:tcPr>
            <w:tcW w:w="797" w:type="dxa"/>
            <w:vAlign w:val="center"/>
          </w:tcPr>
          <w:p w14:paraId="6938273F" w14:textId="77777777" w:rsidR="003A40A0" w:rsidRDefault="003A40A0" w:rsidP="00D431C4">
            <w:pPr>
              <w:spacing w:after="0"/>
              <w:jc w:val="center"/>
              <w:rPr>
                <w:b/>
              </w:rPr>
            </w:pPr>
            <w:r>
              <w:rPr>
                <w:b/>
              </w:rPr>
              <w:t>11dB</w:t>
            </w:r>
          </w:p>
        </w:tc>
        <w:tc>
          <w:tcPr>
            <w:tcW w:w="810" w:type="dxa"/>
            <w:vAlign w:val="center"/>
          </w:tcPr>
          <w:p w14:paraId="2A467E45" w14:textId="77777777" w:rsidR="003A40A0" w:rsidRDefault="003A40A0" w:rsidP="00D431C4">
            <w:pPr>
              <w:spacing w:after="0"/>
              <w:jc w:val="center"/>
              <w:rPr>
                <w:b/>
              </w:rPr>
            </w:pPr>
            <w:r>
              <w:rPr>
                <w:b/>
              </w:rPr>
              <w:t>10dB</w:t>
            </w:r>
          </w:p>
        </w:tc>
        <w:tc>
          <w:tcPr>
            <w:tcW w:w="810" w:type="dxa"/>
            <w:vAlign w:val="center"/>
          </w:tcPr>
          <w:p w14:paraId="6D66E37F" w14:textId="77777777" w:rsidR="003A40A0" w:rsidRDefault="003A40A0" w:rsidP="00D431C4">
            <w:pPr>
              <w:spacing w:after="0"/>
              <w:jc w:val="center"/>
              <w:rPr>
                <w:b/>
              </w:rPr>
            </w:pPr>
            <w:r>
              <w:rPr>
                <w:b/>
              </w:rPr>
              <w:t>9dB</w:t>
            </w:r>
          </w:p>
        </w:tc>
        <w:tc>
          <w:tcPr>
            <w:tcW w:w="720" w:type="dxa"/>
            <w:vAlign w:val="center"/>
          </w:tcPr>
          <w:p w14:paraId="1F327573" w14:textId="77777777" w:rsidR="003A40A0" w:rsidRDefault="003A40A0" w:rsidP="00D431C4">
            <w:pPr>
              <w:spacing w:after="0"/>
              <w:jc w:val="center"/>
              <w:rPr>
                <w:b/>
              </w:rPr>
            </w:pPr>
            <w:r>
              <w:rPr>
                <w:b/>
              </w:rPr>
              <w:t>4dB</w:t>
            </w:r>
          </w:p>
        </w:tc>
        <w:tc>
          <w:tcPr>
            <w:tcW w:w="3098" w:type="dxa"/>
            <w:vAlign w:val="center"/>
          </w:tcPr>
          <w:p w14:paraId="6DD08F6C" w14:textId="0FFD26EC" w:rsidR="003A40A0" w:rsidRDefault="00E23F26" w:rsidP="00D431C4">
            <w:pPr>
              <w:spacing w:after="0"/>
              <w:jc w:val="center"/>
              <w:rPr>
                <w:b/>
              </w:rPr>
            </w:pPr>
            <w:r>
              <w:rPr>
                <w:b/>
              </w:rPr>
              <w:t xml:space="preserve">Significantly </w:t>
            </w:r>
            <w:r w:rsidR="00D431C4">
              <w:rPr>
                <w:b/>
              </w:rPr>
              <w:t>l</w:t>
            </w:r>
            <w:r w:rsidR="003A40A0">
              <w:rPr>
                <w:b/>
              </w:rPr>
              <w:t>ower for 10MHz due to higher guard band</w:t>
            </w:r>
            <w:r>
              <w:rPr>
                <w:b/>
              </w:rPr>
              <w:t>, 5MHz depends on spectrum shape and 7.5kHz higher guard band</w:t>
            </w:r>
          </w:p>
        </w:tc>
        <w:tc>
          <w:tcPr>
            <w:tcW w:w="2302" w:type="dxa"/>
            <w:vAlign w:val="center"/>
          </w:tcPr>
          <w:p w14:paraId="751B097C" w14:textId="77777777" w:rsidR="003A40A0" w:rsidRDefault="003A40A0" w:rsidP="00D431C4">
            <w:pPr>
              <w:spacing w:after="0"/>
              <w:jc w:val="center"/>
              <w:rPr>
                <w:b/>
              </w:rPr>
            </w:pPr>
            <w:r>
              <w:rPr>
                <w:b/>
              </w:rPr>
              <w:t>lower/2xSCS due to lower PSD and larger guard band</w:t>
            </w:r>
          </w:p>
        </w:tc>
      </w:tr>
      <w:tr w:rsidR="003A40A0" w14:paraId="4CF22001" w14:textId="77777777" w:rsidTr="00E23F26">
        <w:trPr>
          <w:jc w:val="center"/>
        </w:trPr>
        <w:tc>
          <w:tcPr>
            <w:tcW w:w="1800" w:type="dxa"/>
            <w:vAlign w:val="center"/>
          </w:tcPr>
          <w:p w14:paraId="408D4909" w14:textId="77777777" w:rsidR="003A40A0" w:rsidRDefault="003A40A0" w:rsidP="00D431C4">
            <w:pPr>
              <w:spacing w:after="0"/>
              <w:jc w:val="center"/>
              <w:rPr>
                <w:b/>
              </w:rPr>
            </w:pPr>
            <w:r>
              <w:rPr>
                <w:b/>
              </w:rPr>
              <w:t>1RB + LO IMD3 -37dBm/4kHz limit</w:t>
            </w:r>
          </w:p>
        </w:tc>
        <w:tc>
          <w:tcPr>
            <w:tcW w:w="797" w:type="dxa"/>
            <w:vAlign w:val="center"/>
          </w:tcPr>
          <w:p w14:paraId="0737C7EC" w14:textId="77777777" w:rsidR="003A40A0" w:rsidRDefault="003A40A0" w:rsidP="00D431C4">
            <w:pPr>
              <w:spacing w:after="0"/>
              <w:jc w:val="center"/>
              <w:rPr>
                <w:b/>
              </w:rPr>
            </w:pPr>
            <w:r>
              <w:rPr>
                <w:b/>
              </w:rPr>
              <w:t>1dB</w:t>
            </w:r>
          </w:p>
        </w:tc>
        <w:tc>
          <w:tcPr>
            <w:tcW w:w="810" w:type="dxa"/>
            <w:vAlign w:val="center"/>
          </w:tcPr>
          <w:p w14:paraId="01FD608F" w14:textId="77777777" w:rsidR="003A40A0" w:rsidRDefault="003A40A0" w:rsidP="00D431C4">
            <w:pPr>
              <w:spacing w:after="0"/>
              <w:jc w:val="center"/>
              <w:rPr>
                <w:b/>
              </w:rPr>
            </w:pPr>
            <w:r>
              <w:rPr>
                <w:b/>
              </w:rPr>
              <w:t>0dB</w:t>
            </w:r>
          </w:p>
        </w:tc>
        <w:tc>
          <w:tcPr>
            <w:tcW w:w="810" w:type="dxa"/>
            <w:vAlign w:val="center"/>
          </w:tcPr>
          <w:p w14:paraId="706E0DC9" w14:textId="77777777" w:rsidR="003A40A0" w:rsidRDefault="003A40A0" w:rsidP="00D431C4">
            <w:pPr>
              <w:spacing w:after="0"/>
              <w:jc w:val="center"/>
              <w:rPr>
                <w:b/>
              </w:rPr>
            </w:pPr>
            <w:r>
              <w:rPr>
                <w:b/>
              </w:rPr>
              <w:t>1dB</w:t>
            </w:r>
          </w:p>
        </w:tc>
        <w:tc>
          <w:tcPr>
            <w:tcW w:w="720" w:type="dxa"/>
            <w:vAlign w:val="center"/>
          </w:tcPr>
          <w:p w14:paraId="4913CEEF" w14:textId="77777777" w:rsidR="003A40A0" w:rsidRDefault="003A40A0" w:rsidP="00D431C4">
            <w:pPr>
              <w:spacing w:after="0"/>
              <w:jc w:val="center"/>
              <w:rPr>
                <w:b/>
              </w:rPr>
            </w:pPr>
            <w:r>
              <w:rPr>
                <w:b/>
              </w:rPr>
              <w:t>0dB</w:t>
            </w:r>
          </w:p>
        </w:tc>
        <w:tc>
          <w:tcPr>
            <w:tcW w:w="3098" w:type="dxa"/>
            <w:vAlign w:val="center"/>
          </w:tcPr>
          <w:p w14:paraId="17F67B6C" w14:textId="6ED12D9C" w:rsidR="003A40A0" w:rsidRDefault="00E23F26" w:rsidP="00E23F26">
            <w:pPr>
              <w:spacing w:after="0"/>
              <w:jc w:val="center"/>
              <w:rPr>
                <w:b/>
              </w:rPr>
            </w:pPr>
            <w:r>
              <w:rPr>
                <w:b/>
              </w:rPr>
              <w:t>~+1</w:t>
            </w:r>
            <w:r w:rsidR="003A40A0">
              <w:rPr>
                <w:b/>
              </w:rPr>
              <w:t>dB</w:t>
            </w:r>
          </w:p>
        </w:tc>
        <w:tc>
          <w:tcPr>
            <w:tcW w:w="2302" w:type="dxa"/>
            <w:vAlign w:val="center"/>
          </w:tcPr>
          <w:p w14:paraId="65E9947B" w14:textId="77777777" w:rsidR="003A40A0" w:rsidRDefault="003A40A0" w:rsidP="00D431C4">
            <w:pPr>
              <w:spacing w:after="0"/>
              <w:jc w:val="center"/>
              <w:rPr>
                <w:b/>
              </w:rPr>
            </w:pPr>
            <w:r>
              <w:rPr>
                <w:b/>
              </w:rPr>
              <w:t>similar</w:t>
            </w:r>
          </w:p>
        </w:tc>
      </w:tr>
      <w:tr w:rsidR="003A40A0" w14:paraId="1671C4EF" w14:textId="77777777" w:rsidTr="00E23F26">
        <w:trPr>
          <w:jc w:val="center"/>
        </w:trPr>
        <w:tc>
          <w:tcPr>
            <w:tcW w:w="1800" w:type="dxa"/>
            <w:vAlign w:val="center"/>
          </w:tcPr>
          <w:p w14:paraId="7FC2A0B9" w14:textId="77777777" w:rsidR="003A40A0" w:rsidRDefault="003A40A0" w:rsidP="00D431C4">
            <w:pPr>
              <w:spacing w:after="0"/>
              <w:jc w:val="center"/>
              <w:rPr>
                <w:b/>
              </w:rPr>
            </w:pPr>
            <w:r>
              <w:rPr>
                <w:b/>
              </w:rPr>
              <w:t>1RB + LO IMD3  /MHz ramp limit</w:t>
            </w:r>
          </w:p>
        </w:tc>
        <w:tc>
          <w:tcPr>
            <w:tcW w:w="797" w:type="dxa"/>
            <w:vAlign w:val="center"/>
          </w:tcPr>
          <w:p w14:paraId="689CDBA8" w14:textId="77777777" w:rsidR="003A40A0" w:rsidRDefault="003A40A0" w:rsidP="00D431C4">
            <w:pPr>
              <w:spacing w:after="0"/>
              <w:jc w:val="center"/>
              <w:rPr>
                <w:b/>
              </w:rPr>
            </w:pPr>
            <w:r>
              <w:rPr>
                <w:b/>
              </w:rPr>
              <w:t>4dB</w:t>
            </w:r>
          </w:p>
        </w:tc>
        <w:tc>
          <w:tcPr>
            <w:tcW w:w="810" w:type="dxa"/>
            <w:vAlign w:val="center"/>
          </w:tcPr>
          <w:p w14:paraId="64A39F02" w14:textId="77777777" w:rsidR="003A40A0" w:rsidRDefault="003A40A0" w:rsidP="00D431C4">
            <w:pPr>
              <w:spacing w:after="0"/>
              <w:jc w:val="center"/>
              <w:rPr>
                <w:b/>
              </w:rPr>
            </w:pPr>
            <w:r>
              <w:rPr>
                <w:b/>
              </w:rPr>
              <w:t>3dB</w:t>
            </w:r>
          </w:p>
        </w:tc>
        <w:tc>
          <w:tcPr>
            <w:tcW w:w="810" w:type="dxa"/>
            <w:vAlign w:val="center"/>
          </w:tcPr>
          <w:p w14:paraId="74180DE7" w14:textId="77777777" w:rsidR="003A40A0" w:rsidRDefault="003A40A0" w:rsidP="00D431C4">
            <w:pPr>
              <w:spacing w:after="0"/>
              <w:jc w:val="center"/>
              <w:rPr>
                <w:b/>
              </w:rPr>
            </w:pPr>
            <w:r>
              <w:rPr>
                <w:b/>
              </w:rPr>
              <w:t>7dB</w:t>
            </w:r>
          </w:p>
        </w:tc>
        <w:tc>
          <w:tcPr>
            <w:tcW w:w="720" w:type="dxa"/>
            <w:vAlign w:val="center"/>
          </w:tcPr>
          <w:p w14:paraId="59DA52A0" w14:textId="77777777" w:rsidR="003A40A0" w:rsidRDefault="003A40A0" w:rsidP="00D431C4">
            <w:pPr>
              <w:spacing w:after="0"/>
              <w:jc w:val="center"/>
              <w:rPr>
                <w:b/>
              </w:rPr>
            </w:pPr>
            <w:r>
              <w:rPr>
                <w:b/>
              </w:rPr>
              <w:t>5dB</w:t>
            </w:r>
          </w:p>
        </w:tc>
        <w:tc>
          <w:tcPr>
            <w:tcW w:w="3098" w:type="dxa"/>
            <w:vAlign w:val="center"/>
          </w:tcPr>
          <w:p w14:paraId="27A099C5" w14:textId="729555B8" w:rsidR="003A40A0" w:rsidRDefault="00E23F26" w:rsidP="00D431C4">
            <w:pPr>
              <w:spacing w:after="0"/>
              <w:jc w:val="center"/>
              <w:rPr>
                <w:b/>
              </w:rPr>
            </w:pPr>
            <w:r>
              <w:rPr>
                <w:b/>
              </w:rPr>
              <w:t>~+1</w:t>
            </w:r>
            <w:r w:rsidR="003A40A0">
              <w:rPr>
                <w:b/>
              </w:rPr>
              <w:t>dB</w:t>
            </w:r>
          </w:p>
        </w:tc>
        <w:tc>
          <w:tcPr>
            <w:tcW w:w="2302" w:type="dxa"/>
            <w:vAlign w:val="center"/>
          </w:tcPr>
          <w:p w14:paraId="5737E5A5" w14:textId="77777777" w:rsidR="003A40A0" w:rsidRDefault="003A40A0" w:rsidP="00D431C4">
            <w:pPr>
              <w:spacing w:after="0"/>
              <w:jc w:val="center"/>
              <w:rPr>
                <w:b/>
              </w:rPr>
            </w:pPr>
            <w:r>
              <w:rPr>
                <w:b/>
              </w:rPr>
              <w:t>similar</w:t>
            </w:r>
          </w:p>
        </w:tc>
      </w:tr>
      <w:tr w:rsidR="003A40A0" w14:paraId="5BE211CD" w14:textId="77777777" w:rsidTr="00E23F26">
        <w:trPr>
          <w:jc w:val="center"/>
        </w:trPr>
        <w:tc>
          <w:tcPr>
            <w:tcW w:w="1800" w:type="dxa"/>
            <w:vAlign w:val="center"/>
          </w:tcPr>
          <w:p w14:paraId="259CBE12" w14:textId="77777777" w:rsidR="003A40A0" w:rsidRDefault="003A40A0" w:rsidP="00D431C4">
            <w:pPr>
              <w:spacing w:after="0"/>
              <w:jc w:val="center"/>
              <w:rPr>
                <w:b/>
              </w:rPr>
            </w:pPr>
            <w:r>
              <w:rPr>
                <w:b/>
              </w:rPr>
              <w:t>Full allocation</w:t>
            </w:r>
          </w:p>
        </w:tc>
        <w:tc>
          <w:tcPr>
            <w:tcW w:w="797" w:type="dxa"/>
            <w:vAlign w:val="center"/>
          </w:tcPr>
          <w:p w14:paraId="093489B1" w14:textId="77777777" w:rsidR="003A40A0" w:rsidRDefault="003A40A0" w:rsidP="00D431C4">
            <w:pPr>
              <w:spacing w:after="0"/>
              <w:jc w:val="center"/>
              <w:rPr>
                <w:b/>
              </w:rPr>
            </w:pPr>
            <w:r>
              <w:rPr>
                <w:b/>
              </w:rPr>
              <w:t>4dB</w:t>
            </w:r>
          </w:p>
        </w:tc>
        <w:tc>
          <w:tcPr>
            <w:tcW w:w="810" w:type="dxa"/>
            <w:vAlign w:val="center"/>
          </w:tcPr>
          <w:p w14:paraId="3F92F3EA" w14:textId="77777777" w:rsidR="003A40A0" w:rsidRDefault="003A40A0" w:rsidP="00D431C4">
            <w:pPr>
              <w:spacing w:after="0"/>
              <w:jc w:val="center"/>
              <w:rPr>
                <w:b/>
              </w:rPr>
            </w:pPr>
            <w:r>
              <w:rPr>
                <w:b/>
              </w:rPr>
              <w:t>3dB</w:t>
            </w:r>
          </w:p>
        </w:tc>
        <w:tc>
          <w:tcPr>
            <w:tcW w:w="810" w:type="dxa"/>
            <w:vAlign w:val="center"/>
          </w:tcPr>
          <w:p w14:paraId="03A41CB9" w14:textId="77777777" w:rsidR="003A40A0" w:rsidRDefault="003A40A0" w:rsidP="00D431C4">
            <w:pPr>
              <w:spacing w:after="0"/>
              <w:jc w:val="center"/>
              <w:rPr>
                <w:b/>
              </w:rPr>
            </w:pPr>
            <w:r>
              <w:rPr>
                <w:b/>
              </w:rPr>
              <w:t>8dB</w:t>
            </w:r>
          </w:p>
        </w:tc>
        <w:tc>
          <w:tcPr>
            <w:tcW w:w="720" w:type="dxa"/>
            <w:vAlign w:val="center"/>
          </w:tcPr>
          <w:p w14:paraId="49EE87F9" w14:textId="77777777" w:rsidR="003A40A0" w:rsidRDefault="003A40A0" w:rsidP="00D431C4">
            <w:pPr>
              <w:spacing w:after="0"/>
              <w:jc w:val="center"/>
              <w:rPr>
                <w:b/>
              </w:rPr>
            </w:pPr>
            <w:r>
              <w:rPr>
                <w:b/>
              </w:rPr>
              <w:t>9dB</w:t>
            </w:r>
          </w:p>
        </w:tc>
        <w:tc>
          <w:tcPr>
            <w:tcW w:w="3098" w:type="dxa"/>
            <w:vAlign w:val="center"/>
          </w:tcPr>
          <w:p w14:paraId="5EE34016" w14:textId="77777777" w:rsidR="003A40A0" w:rsidRDefault="003A40A0" w:rsidP="00D431C4">
            <w:pPr>
              <w:spacing w:after="0"/>
              <w:jc w:val="center"/>
              <w:rPr>
                <w:b/>
              </w:rPr>
            </w:pPr>
            <w:r>
              <w:rPr>
                <w:b/>
              </w:rPr>
              <w:t>=</w:t>
            </w:r>
          </w:p>
        </w:tc>
        <w:tc>
          <w:tcPr>
            <w:tcW w:w="2302" w:type="dxa"/>
            <w:vAlign w:val="center"/>
          </w:tcPr>
          <w:p w14:paraId="4F1E63A8" w14:textId="111E7557" w:rsidR="003A40A0" w:rsidRDefault="00C96CE2" w:rsidP="00D431C4">
            <w:pPr>
              <w:spacing w:after="0"/>
              <w:jc w:val="center"/>
              <w:rPr>
                <w:b/>
              </w:rPr>
            </w:pPr>
            <w:r>
              <w:rPr>
                <w:b/>
              </w:rPr>
              <w:t>Similar as larger guard band effect is small</w:t>
            </w:r>
          </w:p>
        </w:tc>
      </w:tr>
    </w:tbl>
    <w:p w14:paraId="7BE54F94" w14:textId="77777777" w:rsidR="00305289" w:rsidRDefault="00305289" w:rsidP="00305289">
      <w:pPr>
        <w:pStyle w:val="Heading1"/>
      </w:pPr>
      <w:r>
        <w:t>Conclusions</w:t>
      </w:r>
    </w:p>
    <w:p w14:paraId="272ACCE4" w14:textId="22179015" w:rsidR="00305289" w:rsidRDefault="00305289" w:rsidP="00305289">
      <w:pPr>
        <w:spacing w:after="0"/>
        <w:jc w:val="both"/>
      </w:pPr>
      <w:r>
        <w:t xml:space="preserve">In this contribution, we </w:t>
      </w:r>
      <w:r w:rsidR="002F54A3">
        <w:t xml:space="preserve">provide </w:t>
      </w:r>
      <w:r w:rsidR="00DE6E72">
        <w:t xml:space="preserve">measured results at PA output that are used to derive required back-off </w:t>
      </w:r>
      <w:r w:rsidR="00E94EEA">
        <w:t xml:space="preserve">for the 1 MHz and 4 kHz measurement bandwidth FCC requirements for LTE band 24, NR bands n24 and n99. The following proposal is given for allocation corner cases.  </w:t>
      </w:r>
    </w:p>
    <w:p w14:paraId="76207D9C" w14:textId="77777777" w:rsidR="009E09FF" w:rsidRDefault="009E09FF" w:rsidP="00305289">
      <w:pPr>
        <w:spacing w:after="0"/>
        <w:jc w:val="both"/>
      </w:pPr>
    </w:p>
    <w:p w14:paraId="2543654B" w14:textId="77777777" w:rsidR="00D431C4" w:rsidRDefault="00D431C4" w:rsidP="00D431C4">
      <w:pPr>
        <w:spacing w:after="0"/>
        <w:rPr>
          <w:b/>
        </w:rPr>
      </w:pPr>
      <w:r w:rsidRPr="003A40A0">
        <w:rPr>
          <w:b/>
        </w:rPr>
        <w:t xml:space="preserve">Proposal: </w:t>
      </w:r>
    </w:p>
    <w:p w14:paraId="2591B881" w14:textId="77777777" w:rsidR="00D431C4" w:rsidRDefault="00D431C4" w:rsidP="00D431C4">
      <w:pPr>
        <w:pStyle w:val="ListParagraph"/>
        <w:numPr>
          <w:ilvl w:val="0"/>
          <w:numId w:val="43"/>
        </w:numPr>
        <w:spacing w:after="0"/>
        <w:rPr>
          <w:b/>
        </w:rPr>
      </w:pPr>
      <w:r w:rsidRPr="00E23F26">
        <w:rPr>
          <w:b/>
        </w:rPr>
        <w:t>The following table can be used as worst case A-MPR for corner cases that can be used for A-MPR of FDD band n24, SUL band n99 and LTE band 24.</w:t>
      </w:r>
    </w:p>
    <w:p w14:paraId="625FE090" w14:textId="77777777" w:rsidR="00D431C4" w:rsidRDefault="00D431C4" w:rsidP="00D431C4">
      <w:pPr>
        <w:pStyle w:val="ListParagraph"/>
        <w:numPr>
          <w:ilvl w:val="0"/>
          <w:numId w:val="43"/>
        </w:numPr>
        <w:spacing w:after="0"/>
        <w:rPr>
          <w:b/>
        </w:rPr>
      </w:pPr>
      <w:r>
        <w:rPr>
          <w:b/>
        </w:rPr>
        <w:t>For NR: back-off = max(MPR,A-MPR) and the table can be used as is</w:t>
      </w:r>
    </w:p>
    <w:p w14:paraId="1336DAE4" w14:textId="77777777" w:rsidR="00D431C4" w:rsidRPr="00E23F26" w:rsidRDefault="00D431C4" w:rsidP="00D431C4">
      <w:pPr>
        <w:pStyle w:val="ListParagraph"/>
        <w:numPr>
          <w:ilvl w:val="0"/>
          <w:numId w:val="43"/>
        </w:numPr>
        <w:spacing w:after="0"/>
        <w:rPr>
          <w:b/>
        </w:rPr>
      </w:pPr>
      <w:r>
        <w:rPr>
          <w:b/>
        </w:rPr>
        <w:t>For LTE: back off = MPR + AMPR thus the number in the table with additional corrections proposed need to account for MPR</w:t>
      </w:r>
    </w:p>
    <w:tbl>
      <w:tblPr>
        <w:tblStyle w:val="TableGrid"/>
        <w:tblW w:w="10337" w:type="dxa"/>
        <w:jc w:val="center"/>
        <w:tblLook w:val="04A0" w:firstRow="1" w:lastRow="0" w:firstColumn="1" w:lastColumn="0" w:noHBand="0" w:noVBand="1"/>
      </w:tblPr>
      <w:tblGrid>
        <w:gridCol w:w="1800"/>
        <w:gridCol w:w="797"/>
        <w:gridCol w:w="810"/>
        <w:gridCol w:w="810"/>
        <w:gridCol w:w="720"/>
        <w:gridCol w:w="3098"/>
        <w:gridCol w:w="2302"/>
      </w:tblGrid>
      <w:tr w:rsidR="00D431C4" w14:paraId="7DBA542E" w14:textId="77777777" w:rsidTr="00D431C4">
        <w:trPr>
          <w:jc w:val="center"/>
        </w:trPr>
        <w:tc>
          <w:tcPr>
            <w:tcW w:w="1800" w:type="dxa"/>
            <w:vMerge w:val="restart"/>
            <w:vAlign w:val="center"/>
          </w:tcPr>
          <w:p w14:paraId="3A7829DB" w14:textId="77777777" w:rsidR="00D431C4" w:rsidRDefault="00D431C4" w:rsidP="00D431C4">
            <w:pPr>
              <w:spacing w:after="0"/>
              <w:jc w:val="center"/>
              <w:rPr>
                <w:b/>
              </w:rPr>
            </w:pPr>
            <w:r>
              <w:rPr>
                <w:b/>
              </w:rPr>
              <w:t>Corner cases</w:t>
            </w:r>
          </w:p>
        </w:tc>
        <w:tc>
          <w:tcPr>
            <w:tcW w:w="1607" w:type="dxa"/>
            <w:gridSpan w:val="2"/>
            <w:vAlign w:val="center"/>
          </w:tcPr>
          <w:p w14:paraId="2EEA85E9" w14:textId="77777777" w:rsidR="00D431C4" w:rsidRDefault="00D431C4" w:rsidP="00D431C4">
            <w:pPr>
              <w:spacing w:after="0"/>
              <w:jc w:val="center"/>
              <w:rPr>
                <w:b/>
              </w:rPr>
            </w:pPr>
            <w:r>
              <w:rPr>
                <w:b/>
              </w:rPr>
              <w:t>Lowest 5MHz channel</w:t>
            </w:r>
          </w:p>
        </w:tc>
        <w:tc>
          <w:tcPr>
            <w:tcW w:w="1530" w:type="dxa"/>
            <w:gridSpan w:val="2"/>
            <w:vAlign w:val="center"/>
          </w:tcPr>
          <w:p w14:paraId="761FFCD4" w14:textId="77777777" w:rsidR="00D431C4" w:rsidRDefault="00D431C4" w:rsidP="00D431C4">
            <w:pPr>
              <w:spacing w:after="0"/>
              <w:jc w:val="center"/>
              <w:rPr>
                <w:b/>
              </w:rPr>
            </w:pPr>
            <w:r>
              <w:rPr>
                <w:b/>
              </w:rPr>
              <w:t>Lowest 10MHz channel</w:t>
            </w:r>
          </w:p>
        </w:tc>
        <w:tc>
          <w:tcPr>
            <w:tcW w:w="3098" w:type="dxa"/>
            <w:vMerge w:val="restart"/>
            <w:vAlign w:val="center"/>
          </w:tcPr>
          <w:p w14:paraId="44335244" w14:textId="77777777" w:rsidR="00D431C4" w:rsidRDefault="00D431C4" w:rsidP="00D431C4">
            <w:pPr>
              <w:spacing w:after="0"/>
              <w:jc w:val="center"/>
              <w:rPr>
                <w:b/>
              </w:rPr>
            </w:pPr>
            <w:r>
              <w:rPr>
                <w:b/>
              </w:rPr>
              <w:t>LTE adjustment</w:t>
            </w:r>
          </w:p>
        </w:tc>
        <w:tc>
          <w:tcPr>
            <w:tcW w:w="2302" w:type="dxa"/>
            <w:vMerge w:val="restart"/>
            <w:vAlign w:val="center"/>
          </w:tcPr>
          <w:p w14:paraId="7FE7E147" w14:textId="77777777" w:rsidR="00D431C4" w:rsidRDefault="00D431C4" w:rsidP="00D431C4">
            <w:pPr>
              <w:spacing w:after="0"/>
              <w:jc w:val="center"/>
              <w:rPr>
                <w:b/>
              </w:rPr>
            </w:pPr>
            <w:r>
              <w:rPr>
                <w:b/>
              </w:rPr>
              <w:t>Higher SCS adjustment</w:t>
            </w:r>
          </w:p>
        </w:tc>
      </w:tr>
      <w:tr w:rsidR="00D431C4" w14:paraId="592D706D" w14:textId="77777777" w:rsidTr="00D431C4">
        <w:trPr>
          <w:jc w:val="center"/>
        </w:trPr>
        <w:tc>
          <w:tcPr>
            <w:tcW w:w="1800" w:type="dxa"/>
            <w:vMerge/>
            <w:vAlign w:val="center"/>
          </w:tcPr>
          <w:p w14:paraId="703C5E6C" w14:textId="77777777" w:rsidR="00D431C4" w:rsidRDefault="00D431C4" w:rsidP="00D431C4">
            <w:pPr>
              <w:spacing w:after="0"/>
              <w:jc w:val="center"/>
              <w:rPr>
                <w:b/>
              </w:rPr>
            </w:pPr>
          </w:p>
        </w:tc>
        <w:tc>
          <w:tcPr>
            <w:tcW w:w="797" w:type="dxa"/>
            <w:vAlign w:val="center"/>
          </w:tcPr>
          <w:p w14:paraId="56FF3CDC" w14:textId="77777777" w:rsidR="00D431C4" w:rsidRDefault="00D431C4" w:rsidP="00D431C4">
            <w:pPr>
              <w:spacing w:after="0"/>
              <w:jc w:val="center"/>
              <w:rPr>
                <w:b/>
              </w:rPr>
            </w:pPr>
            <w:r>
              <w:rPr>
                <w:b/>
              </w:rPr>
              <w:t>CP</w:t>
            </w:r>
          </w:p>
        </w:tc>
        <w:tc>
          <w:tcPr>
            <w:tcW w:w="810" w:type="dxa"/>
            <w:vAlign w:val="center"/>
          </w:tcPr>
          <w:p w14:paraId="18CEA5DB" w14:textId="77777777" w:rsidR="00D431C4" w:rsidRDefault="00D431C4" w:rsidP="00D431C4">
            <w:pPr>
              <w:spacing w:after="0"/>
              <w:jc w:val="center"/>
              <w:rPr>
                <w:b/>
              </w:rPr>
            </w:pPr>
            <w:r>
              <w:rPr>
                <w:b/>
              </w:rPr>
              <w:t>DFT</w:t>
            </w:r>
          </w:p>
        </w:tc>
        <w:tc>
          <w:tcPr>
            <w:tcW w:w="810" w:type="dxa"/>
            <w:vAlign w:val="center"/>
          </w:tcPr>
          <w:p w14:paraId="4ABD858B" w14:textId="77777777" w:rsidR="00D431C4" w:rsidRDefault="00D431C4" w:rsidP="00D431C4">
            <w:pPr>
              <w:spacing w:after="0"/>
              <w:jc w:val="center"/>
              <w:rPr>
                <w:b/>
              </w:rPr>
            </w:pPr>
            <w:r>
              <w:rPr>
                <w:b/>
              </w:rPr>
              <w:t>CP</w:t>
            </w:r>
          </w:p>
        </w:tc>
        <w:tc>
          <w:tcPr>
            <w:tcW w:w="720" w:type="dxa"/>
            <w:vAlign w:val="center"/>
          </w:tcPr>
          <w:p w14:paraId="63B90E2B" w14:textId="77777777" w:rsidR="00D431C4" w:rsidRDefault="00D431C4" w:rsidP="00D431C4">
            <w:pPr>
              <w:spacing w:after="0"/>
              <w:jc w:val="center"/>
              <w:rPr>
                <w:b/>
              </w:rPr>
            </w:pPr>
            <w:r>
              <w:rPr>
                <w:b/>
              </w:rPr>
              <w:t>DFT</w:t>
            </w:r>
          </w:p>
        </w:tc>
        <w:tc>
          <w:tcPr>
            <w:tcW w:w="3098" w:type="dxa"/>
            <w:vMerge/>
            <w:vAlign w:val="center"/>
          </w:tcPr>
          <w:p w14:paraId="4D617E4F" w14:textId="77777777" w:rsidR="00D431C4" w:rsidRDefault="00D431C4" w:rsidP="00D431C4">
            <w:pPr>
              <w:spacing w:after="0"/>
              <w:jc w:val="center"/>
              <w:rPr>
                <w:b/>
              </w:rPr>
            </w:pPr>
          </w:p>
        </w:tc>
        <w:tc>
          <w:tcPr>
            <w:tcW w:w="2302" w:type="dxa"/>
            <w:vMerge/>
            <w:vAlign w:val="center"/>
          </w:tcPr>
          <w:p w14:paraId="30376BC0" w14:textId="77777777" w:rsidR="00D431C4" w:rsidRDefault="00D431C4" w:rsidP="00D431C4">
            <w:pPr>
              <w:spacing w:after="0"/>
              <w:jc w:val="center"/>
              <w:rPr>
                <w:b/>
              </w:rPr>
            </w:pPr>
          </w:p>
        </w:tc>
      </w:tr>
      <w:tr w:rsidR="00D431C4" w14:paraId="3C00F8F8" w14:textId="77777777" w:rsidTr="00D431C4">
        <w:trPr>
          <w:jc w:val="center"/>
        </w:trPr>
        <w:tc>
          <w:tcPr>
            <w:tcW w:w="1800" w:type="dxa"/>
            <w:vAlign w:val="center"/>
          </w:tcPr>
          <w:p w14:paraId="3F3EF0F8" w14:textId="77777777" w:rsidR="00D431C4" w:rsidRDefault="00D431C4" w:rsidP="00D431C4">
            <w:pPr>
              <w:spacing w:after="0"/>
              <w:jc w:val="center"/>
              <w:rPr>
                <w:b/>
              </w:rPr>
            </w:pPr>
            <w:r>
              <w:rPr>
                <w:b/>
              </w:rPr>
              <w:t>1R0 -37dBm/4kHz limit</w:t>
            </w:r>
          </w:p>
        </w:tc>
        <w:tc>
          <w:tcPr>
            <w:tcW w:w="797" w:type="dxa"/>
            <w:vAlign w:val="center"/>
          </w:tcPr>
          <w:p w14:paraId="6CAF3F18" w14:textId="77777777" w:rsidR="00D431C4" w:rsidRDefault="00D431C4" w:rsidP="00D431C4">
            <w:pPr>
              <w:spacing w:after="0"/>
              <w:jc w:val="center"/>
              <w:rPr>
                <w:b/>
              </w:rPr>
            </w:pPr>
            <w:r>
              <w:rPr>
                <w:b/>
              </w:rPr>
              <w:t>11dB</w:t>
            </w:r>
          </w:p>
        </w:tc>
        <w:tc>
          <w:tcPr>
            <w:tcW w:w="810" w:type="dxa"/>
            <w:vAlign w:val="center"/>
          </w:tcPr>
          <w:p w14:paraId="1A14763B" w14:textId="77777777" w:rsidR="00D431C4" w:rsidRDefault="00D431C4" w:rsidP="00D431C4">
            <w:pPr>
              <w:spacing w:after="0"/>
              <w:jc w:val="center"/>
              <w:rPr>
                <w:b/>
              </w:rPr>
            </w:pPr>
            <w:r>
              <w:rPr>
                <w:b/>
              </w:rPr>
              <w:t>10dB</w:t>
            </w:r>
          </w:p>
        </w:tc>
        <w:tc>
          <w:tcPr>
            <w:tcW w:w="810" w:type="dxa"/>
            <w:vAlign w:val="center"/>
          </w:tcPr>
          <w:p w14:paraId="1E086850" w14:textId="77777777" w:rsidR="00D431C4" w:rsidRDefault="00D431C4" w:rsidP="00D431C4">
            <w:pPr>
              <w:spacing w:after="0"/>
              <w:jc w:val="center"/>
              <w:rPr>
                <w:b/>
              </w:rPr>
            </w:pPr>
            <w:r>
              <w:rPr>
                <w:b/>
              </w:rPr>
              <w:t>9dB</w:t>
            </w:r>
          </w:p>
        </w:tc>
        <w:tc>
          <w:tcPr>
            <w:tcW w:w="720" w:type="dxa"/>
            <w:vAlign w:val="center"/>
          </w:tcPr>
          <w:p w14:paraId="4396855A" w14:textId="77777777" w:rsidR="00D431C4" w:rsidRDefault="00D431C4" w:rsidP="00D431C4">
            <w:pPr>
              <w:spacing w:after="0"/>
              <w:jc w:val="center"/>
              <w:rPr>
                <w:b/>
              </w:rPr>
            </w:pPr>
            <w:r>
              <w:rPr>
                <w:b/>
              </w:rPr>
              <w:t>4dB</w:t>
            </w:r>
          </w:p>
        </w:tc>
        <w:tc>
          <w:tcPr>
            <w:tcW w:w="3098" w:type="dxa"/>
            <w:vAlign w:val="center"/>
          </w:tcPr>
          <w:p w14:paraId="0086A1B2" w14:textId="14B21C87" w:rsidR="00D431C4" w:rsidRDefault="00D431C4" w:rsidP="00D431C4">
            <w:pPr>
              <w:spacing w:after="0"/>
              <w:jc w:val="center"/>
              <w:rPr>
                <w:b/>
              </w:rPr>
            </w:pPr>
            <w:r>
              <w:rPr>
                <w:b/>
              </w:rPr>
              <w:t>Significantly lower for 10MHz due to higher guard band, 5MHz depends on spectrum shape and 7.5kHz higher guard band</w:t>
            </w:r>
          </w:p>
        </w:tc>
        <w:tc>
          <w:tcPr>
            <w:tcW w:w="2302" w:type="dxa"/>
            <w:vAlign w:val="center"/>
          </w:tcPr>
          <w:p w14:paraId="47F5CE87" w14:textId="77777777" w:rsidR="00D431C4" w:rsidRDefault="00D431C4" w:rsidP="00D431C4">
            <w:pPr>
              <w:spacing w:after="0"/>
              <w:jc w:val="center"/>
              <w:rPr>
                <w:b/>
              </w:rPr>
            </w:pPr>
            <w:r>
              <w:rPr>
                <w:b/>
              </w:rPr>
              <w:t>lower/2xSCS due to lower PSD and larger guard band</w:t>
            </w:r>
          </w:p>
        </w:tc>
      </w:tr>
      <w:tr w:rsidR="00D431C4" w14:paraId="37F647C9" w14:textId="77777777" w:rsidTr="00D431C4">
        <w:trPr>
          <w:jc w:val="center"/>
        </w:trPr>
        <w:tc>
          <w:tcPr>
            <w:tcW w:w="1800" w:type="dxa"/>
            <w:vAlign w:val="center"/>
          </w:tcPr>
          <w:p w14:paraId="0C5C24ED" w14:textId="77777777" w:rsidR="00D431C4" w:rsidRDefault="00D431C4" w:rsidP="00D431C4">
            <w:pPr>
              <w:spacing w:after="0"/>
              <w:jc w:val="center"/>
              <w:rPr>
                <w:b/>
              </w:rPr>
            </w:pPr>
            <w:r>
              <w:rPr>
                <w:b/>
              </w:rPr>
              <w:t>1RB + LO IMD3 -</w:t>
            </w:r>
            <w:r>
              <w:rPr>
                <w:b/>
              </w:rPr>
              <w:lastRenderedPageBreak/>
              <w:t>37dBm/4kHz limit</w:t>
            </w:r>
          </w:p>
        </w:tc>
        <w:tc>
          <w:tcPr>
            <w:tcW w:w="797" w:type="dxa"/>
            <w:vAlign w:val="center"/>
          </w:tcPr>
          <w:p w14:paraId="460161FA" w14:textId="77777777" w:rsidR="00D431C4" w:rsidRDefault="00D431C4" w:rsidP="00D431C4">
            <w:pPr>
              <w:spacing w:after="0"/>
              <w:jc w:val="center"/>
              <w:rPr>
                <w:b/>
              </w:rPr>
            </w:pPr>
            <w:r>
              <w:rPr>
                <w:b/>
              </w:rPr>
              <w:lastRenderedPageBreak/>
              <w:t>1dB</w:t>
            </w:r>
          </w:p>
        </w:tc>
        <w:tc>
          <w:tcPr>
            <w:tcW w:w="810" w:type="dxa"/>
            <w:vAlign w:val="center"/>
          </w:tcPr>
          <w:p w14:paraId="3E189168" w14:textId="77777777" w:rsidR="00D431C4" w:rsidRDefault="00D431C4" w:rsidP="00D431C4">
            <w:pPr>
              <w:spacing w:after="0"/>
              <w:jc w:val="center"/>
              <w:rPr>
                <w:b/>
              </w:rPr>
            </w:pPr>
            <w:r>
              <w:rPr>
                <w:b/>
              </w:rPr>
              <w:t>0dB</w:t>
            </w:r>
          </w:p>
        </w:tc>
        <w:tc>
          <w:tcPr>
            <w:tcW w:w="810" w:type="dxa"/>
            <w:vAlign w:val="center"/>
          </w:tcPr>
          <w:p w14:paraId="4F8F1799" w14:textId="77777777" w:rsidR="00D431C4" w:rsidRDefault="00D431C4" w:rsidP="00D431C4">
            <w:pPr>
              <w:spacing w:after="0"/>
              <w:jc w:val="center"/>
              <w:rPr>
                <w:b/>
              </w:rPr>
            </w:pPr>
            <w:r>
              <w:rPr>
                <w:b/>
              </w:rPr>
              <w:t>1dB</w:t>
            </w:r>
          </w:p>
        </w:tc>
        <w:tc>
          <w:tcPr>
            <w:tcW w:w="720" w:type="dxa"/>
            <w:vAlign w:val="center"/>
          </w:tcPr>
          <w:p w14:paraId="3F893A19" w14:textId="77777777" w:rsidR="00D431C4" w:rsidRDefault="00D431C4" w:rsidP="00D431C4">
            <w:pPr>
              <w:spacing w:after="0"/>
              <w:jc w:val="center"/>
              <w:rPr>
                <w:b/>
              </w:rPr>
            </w:pPr>
            <w:r>
              <w:rPr>
                <w:b/>
              </w:rPr>
              <w:t>0dB</w:t>
            </w:r>
          </w:p>
        </w:tc>
        <w:tc>
          <w:tcPr>
            <w:tcW w:w="3098" w:type="dxa"/>
            <w:vAlign w:val="center"/>
          </w:tcPr>
          <w:p w14:paraId="0E86B20B" w14:textId="77777777" w:rsidR="00D431C4" w:rsidRDefault="00D431C4" w:rsidP="00D431C4">
            <w:pPr>
              <w:spacing w:after="0"/>
              <w:jc w:val="center"/>
              <w:rPr>
                <w:b/>
              </w:rPr>
            </w:pPr>
            <w:r>
              <w:rPr>
                <w:b/>
              </w:rPr>
              <w:t>~+1dB</w:t>
            </w:r>
          </w:p>
        </w:tc>
        <w:tc>
          <w:tcPr>
            <w:tcW w:w="2302" w:type="dxa"/>
            <w:vAlign w:val="center"/>
          </w:tcPr>
          <w:p w14:paraId="6069051E" w14:textId="77777777" w:rsidR="00D431C4" w:rsidRDefault="00D431C4" w:rsidP="00D431C4">
            <w:pPr>
              <w:spacing w:after="0"/>
              <w:jc w:val="center"/>
              <w:rPr>
                <w:b/>
              </w:rPr>
            </w:pPr>
            <w:r>
              <w:rPr>
                <w:b/>
              </w:rPr>
              <w:t>similar</w:t>
            </w:r>
          </w:p>
        </w:tc>
      </w:tr>
      <w:tr w:rsidR="00D431C4" w14:paraId="7317F707" w14:textId="77777777" w:rsidTr="00D431C4">
        <w:trPr>
          <w:jc w:val="center"/>
        </w:trPr>
        <w:tc>
          <w:tcPr>
            <w:tcW w:w="1800" w:type="dxa"/>
            <w:vAlign w:val="center"/>
          </w:tcPr>
          <w:p w14:paraId="7E2CB578" w14:textId="77777777" w:rsidR="00D431C4" w:rsidRDefault="00D431C4" w:rsidP="00D431C4">
            <w:pPr>
              <w:spacing w:after="0"/>
              <w:jc w:val="center"/>
              <w:rPr>
                <w:b/>
              </w:rPr>
            </w:pPr>
            <w:r>
              <w:rPr>
                <w:b/>
              </w:rPr>
              <w:lastRenderedPageBreak/>
              <w:t>1RB + LO IMD3  /MHz ramp limit</w:t>
            </w:r>
          </w:p>
        </w:tc>
        <w:tc>
          <w:tcPr>
            <w:tcW w:w="797" w:type="dxa"/>
            <w:vAlign w:val="center"/>
          </w:tcPr>
          <w:p w14:paraId="143AB96D" w14:textId="77777777" w:rsidR="00D431C4" w:rsidRDefault="00D431C4" w:rsidP="00D431C4">
            <w:pPr>
              <w:spacing w:after="0"/>
              <w:jc w:val="center"/>
              <w:rPr>
                <w:b/>
              </w:rPr>
            </w:pPr>
            <w:r>
              <w:rPr>
                <w:b/>
              </w:rPr>
              <w:t>4dB</w:t>
            </w:r>
          </w:p>
        </w:tc>
        <w:tc>
          <w:tcPr>
            <w:tcW w:w="810" w:type="dxa"/>
            <w:vAlign w:val="center"/>
          </w:tcPr>
          <w:p w14:paraId="2BE855C1" w14:textId="77777777" w:rsidR="00D431C4" w:rsidRDefault="00D431C4" w:rsidP="00D431C4">
            <w:pPr>
              <w:spacing w:after="0"/>
              <w:jc w:val="center"/>
              <w:rPr>
                <w:b/>
              </w:rPr>
            </w:pPr>
            <w:r>
              <w:rPr>
                <w:b/>
              </w:rPr>
              <w:t>3dB</w:t>
            </w:r>
          </w:p>
        </w:tc>
        <w:tc>
          <w:tcPr>
            <w:tcW w:w="810" w:type="dxa"/>
            <w:vAlign w:val="center"/>
          </w:tcPr>
          <w:p w14:paraId="0B2E87B6" w14:textId="77777777" w:rsidR="00D431C4" w:rsidRDefault="00D431C4" w:rsidP="00D431C4">
            <w:pPr>
              <w:spacing w:after="0"/>
              <w:jc w:val="center"/>
              <w:rPr>
                <w:b/>
              </w:rPr>
            </w:pPr>
            <w:r>
              <w:rPr>
                <w:b/>
              </w:rPr>
              <w:t>7dB</w:t>
            </w:r>
          </w:p>
        </w:tc>
        <w:tc>
          <w:tcPr>
            <w:tcW w:w="720" w:type="dxa"/>
            <w:vAlign w:val="center"/>
          </w:tcPr>
          <w:p w14:paraId="1319063F" w14:textId="77777777" w:rsidR="00D431C4" w:rsidRDefault="00D431C4" w:rsidP="00D431C4">
            <w:pPr>
              <w:spacing w:after="0"/>
              <w:jc w:val="center"/>
              <w:rPr>
                <w:b/>
              </w:rPr>
            </w:pPr>
            <w:r>
              <w:rPr>
                <w:b/>
              </w:rPr>
              <w:t>5dB</w:t>
            </w:r>
          </w:p>
        </w:tc>
        <w:tc>
          <w:tcPr>
            <w:tcW w:w="3098" w:type="dxa"/>
            <w:vAlign w:val="center"/>
          </w:tcPr>
          <w:p w14:paraId="42114A0C" w14:textId="77777777" w:rsidR="00D431C4" w:rsidRDefault="00D431C4" w:rsidP="00D431C4">
            <w:pPr>
              <w:spacing w:after="0"/>
              <w:jc w:val="center"/>
              <w:rPr>
                <w:b/>
              </w:rPr>
            </w:pPr>
            <w:r>
              <w:rPr>
                <w:b/>
              </w:rPr>
              <w:t>~+1dB</w:t>
            </w:r>
          </w:p>
        </w:tc>
        <w:tc>
          <w:tcPr>
            <w:tcW w:w="2302" w:type="dxa"/>
            <w:vAlign w:val="center"/>
          </w:tcPr>
          <w:p w14:paraId="2C5279D0" w14:textId="77777777" w:rsidR="00D431C4" w:rsidRDefault="00D431C4" w:rsidP="00D431C4">
            <w:pPr>
              <w:spacing w:after="0"/>
              <w:jc w:val="center"/>
              <w:rPr>
                <w:b/>
              </w:rPr>
            </w:pPr>
            <w:r>
              <w:rPr>
                <w:b/>
              </w:rPr>
              <w:t>similar</w:t>
            </w:r>
          </w:p>
        </w:tc>
      </w:tr>
      <w:tr w:rsidR="00D431C4" w14:paraId="0D5BC570" w14:textId="77777777" w:rsidTr="00D431C4">
        <w:trPr>
          <w:jc w:val="center"/>
        </w:trPr>
        <w:tc>
          <w:tcPr>
            <w:tcW w:w="1800" w:type="dxa"/>
            <w:vAlign w:val="center"/>
          </w:tcPr>
          <w:p w14:paraId="796CB8E8" w14:textId="77777777" w:rsidR="00D431C4" w:rsidRDefault="00D431C4" w:rsidP="00D431C4">
            <w:pPr>
              <w:spacing w:after="0"/>
              <w:jc w:val="center"/>
              <w:rPr>
                <w:b/>
              </w:rPr>
            </w:pPr>
            <w:r>
              <w:rPr>
                <w:b/>
              </w:rPr>
              <w:t>Full allocation</w:t>
            </w:r>
          </w:p>
        </w:tc>
        <w:tc>
          <w:tcPr>
            <w:tcW w:w="797" w:type="dxa"/>
            <w:vAlign w:val="center"/>
          </w:tcPr>
          <w:p w14:paraId="5AFE95BD" w14:textId="77777777" w:rsidR="00D431C4" w:rsidRDefault="00D431C4" w:rsidP="00D431C4">
            <w:pPr>
              <w:spacing w:after="0"/>
              <w:jc w:val="center"/>
              <w:rPr>
                <w:b/>
              </w:rPr>
            </w:pPr>
            <w:r>
              <w:rPr>
                <w:b/>
              </w:rPr>
              <w:t>4dB</w:t>
            </w:r>
          </w:p>
        </w:tc>
        <w:tc>
          <w:tcPr>
            <w:tcW w:w="810" w:type="dxa"/>
            <w:vAlign w:val="center"/>
          </w:tcPr>
          <w:p w14:paraId="73C35E6E" w14:textId="77777777" w:rsidR="00D431C4" w:rsidRDefault="00D431C4" w:rsidP="00D431C4">
            <w:pPr>
              <w:spacing w:after="0"/>
              <w:jc w:val="center"/>
              <w:rPr>
                <w:b/>
              </w:rPr>
            </w:pPr>
            <w:r>
              <w:rPr>
                <w:b/>
              </w:rPr>
              <w:t>3dB</w:t>
            </w:r>
          </w:p>
        </w:tc>
        <w:tc>
          <w:tcPr>
            <w:tcW w:w="810" w:type="dxa"/>
            <w:vAlign w:val="center"/>
          </w:tcPr>
          <w:p w14:paraId="290A9BF2" w14:textId="77777777" w:rsidR="00D431C4" w:rsidRDefault="00D431C4" w:rsidP="00D431C4">
            <w:pPr>
              <w:spacing w:after="0"/>
              <w:jc w:val="center"/>
              <w:rPr>
                <w:b/>
              </w:rPr>
            </w:pPr>
            <w:r>
              <w:rPr>
                <w:b/>
              </w:rPr>
              <w:t>8dB</w:t>
            </w:r>
          </w:p>
        </w:tc>
        <w:tc>
          <w:tcPr>
            <w:tcW w:w="720" w:type="dxa"/>
            <w:vAlign w:val="center"/>
          </w:tcPr>
          <w:p w14:paraId="170D61AB" w14:textId="77777777" w:rsidR="00D431C4" w:rsidRDefault="00D431C4" w:rsidP="00D431C4">
            <w:pPr>
              <w:spacing w:after="0"/>
              <w:jc w:val="center"/>
              <w:rPr>
                <w:b/>
              </w:rPr>
            </w:pPr>
            <w:r>
              <w:rPr>
                <w:b/>
              </w:rPr>
              <w:t>9dB</w:t>
            </w:r>
          </w:p>
        </w:tc>
        <w:tc>
          <w:tcPr>
            <w:tcW w:w="3098" w:type="dxa"/>
            <w:vAlign w:val="center"/>
          </w:tcPr>
          <w:p w14:paraId="77688CEC" w14:textId="77777777" w:rsidR="00D431C4" w:rsidRDefault="00D431C4" w:rsidP="00D431C4">
            <w:pPr>
              <w:spacing w:after="0"/>
              <w:jc w:val="center"/>
              <w:rPr>
                <w:b/>
              </w:rPr>
            </w:pPr>
            <w:r>
              <w:rPr>
                <w:b/>
              </w:rPr>
              <w:t>=</w:t>
            </w:r>
          </w:p>
        </w:tc>
        <w:tc>
          <w:tcPr>
            <w:tcW w:w="2302" w:type="dxa"/>
            <w:vAlign w:val="center"/>
          </w:tcPr>
          <w:p w14:paraId="00F33598" w14:textId="4915EDDB" w:rsidR="00D431C4" w:rsidRDefault="00C96CE2" w:rsidP="00D431C4">
            <w:pPr>
              <w:spacing w:after="0"/>
              <w:jc w:val="center"/>
              <w:rPr>
                <w:b/>
              </w:rPr>
            </w:pPr>
            <w:r>
              <w:rPr>
                <w:b/>
              </w:rPr>
              <w:t>Similar as</w:t>
            </w:r>
            <w:r w:rsidR="00D431C4">
              <w:rPr>
                <w:b/>
              </w:rPr>
              <w:t xml:space="preserve"> larger guard band</w:t>
            </w:r>
            <w:r>
              <w:rPr>
                <w:b/>
              </w:rPr>
              <w:t xml:space="preserve"> effect is small</w:t>
            </w:r>
          </w:p>
        </w:tc>
      </w:tr>
    </w:tbl>
    <w:p w14:paraId="03D6921F" w14:textId="77777777" w:rsidR="00F10F97" w:rsidRDefault="007321E3" w:rsidP="00C8525F">
      <w:pPr>
        <w:pStyle w:val="Heading1"/>
        <w:numPr>
          <w:ilvl w:val="0"/>
          <w:numId w:val="0"/>
        </w:numPr>
        <w:jc w:val="both"/>
      </w:pPr>
      <w:r>
        <w:t>R</w:t>
      </w:r>
      <w:r w:rsidR="00F10F97">
        <w:t>eferences</w:t>
      </w:r>
    </w:p>
    <w:p w14:paraId="6CD12A89" w14:textId="45C2DF55" w:rsidR="00674679" w:rsidRDefault="00674679" w:rsidP="00A43625">
      <w:r>
        <w:t>[1</w:t>
      </w:r>
      <w:r w:rsidRPr="00DD0023">
        <w:t>]</w:t>
      </w:r>
      <w:r>
        <w:t xml:space="preserve"> </w:t>
      </w:r>
      <w:r w:rsidRPr="00674679">
        <w:t>R4-2016896 WF for LTE_B24_mod and NR_band_n24</w:t>
      </w:r>
      <w:r>
        <w:t xml:space="preserve">, </w:t>
      </w:r>
      <w:proofErr w:type="spellStart"/>
      <w:r w:rsidRPr="00674679">
        <w:t>Ligado</w:t>
      </w:r>
      <w:proofErr w:type="spellEnd"/>
      <w:r w:rsidRPr="00674679">
        <w:t xml:space="preserve"> Networks, </w:t>
      </w:r>
      <w:r>
        <w:t>Skyworks Solutions Inc., RAN4#97e</w:t>
      </w:r>
    </w:p>
    <w:p w14:paraId="145EDCD6" w14:textId="2F59BF09" w:rsidR="001C356B" w:rsidRDefault="001B39A7" w:rsidP="00A43625">
      <w:r>
        <w:t>[</w:t>
      </w:r>
      <w:r w:rsidR="00674679">
        <w:t>2</w:t>
      </w:r>
      <w:r w:rsidR="00357919" w:rsidRPr="00DD0023">
        <w:t>]</w:t>
      </w:r>
      <w:r w:rsidR="00357919" w:rsidRPr="00DD0023">
        <w:tab/>
      </w:r>
      <w:r w:rsidR="00674679" w:rsidRPr="00674679">
        <w:t>R4-2014495</w:t>
      </w:r>
      <w:r w:rsidR="00674679">
        <w:t>,</w:t>
      </w:r>
      <w:r w:rsidR="00674679" w:rsidRPr="00674679">
        <w:t xml:space="preserve"> Band 24 and n24 A-MPR</w:t>
      </w:r>
      <w:r w:rsidR="00A43625">
        <w:t xml:space="preserve">, </w:t>
      </w:r>
      <w:r w:rsidR="00674679">
        <w:t xml:space="preserve">Skyworks Solutions Inc., </w:t>
      </w:r>
      <w:r w:rsidR="00A43625">
        <w:t>RAN4#9</w:t>
      </w:r>
      <w:r w:rsidR="00674679">
        <w:t>7</w:t>
      </w:r>
      <w:r w:rsidR="00A43625">
        <w:t>e</w:t>
      </w:r>
    </w:p>
    <w:sectPr w:rsidR="001C356B" w:rsidSect="00826CB9">
      <w:footerReference w:type="default" r:id="rId15"/>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F8656" w14:textId="77777777" w:rsidR="009C0E9B" w:rsidRDefault="009C0E9B">
      <w:r>
        <w:separator/>
      </w:r>
    </w:p>
  </w:endnote>
  <w:endnote w:type="continuationSeparator" w:id="0">
    <w:p w14:paraId="2F79B355" w14:textId="77777777" w:rsidR="009C0E9B" w:rsidRDefault="009C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D431C4" w:rsidRDefault="00D431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C1A7E" w14:textId="77777777" w:rsidR="009C0E9B" w:rsidRDefault="009C0E9B">
      <w:r>
        <w:separator/>
      </w:r>
    </w:p>
  </w:footnote>
  <w:footnote w:type="continuationSeparator" w:id="0">
    <w:p w14:paraId="71D53121" w14:textId="77777777" w:rsidR="009C0E9B" w:rsidRDefault="009C0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8DA"/>
    <w:multiLevelType w:val="hybridMultilevel"/>
    <w:tmpl w:val="D024A9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561CAE"/>
    <w:multiLevelType w:val="hybridMultilevel"/>
    <w:tmpl w:val="E96C8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1B16C09"/>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7AA1512"/>
    <w:multiLevelType w:val="hybridMultilevel"/>
    <w:tmpl w:val="347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9421D0"/>
    <w:multiLevelType w:val="hybridMultilevel"/>
    <w:tmpl w:val="A0B83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1D131E"/>
    <w:multiLevelType w:val="hybridMultilevel"/>
    <w:tmpl w:val="429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F692E8A"/>
    <w:multiLevelType w:val="hybridMultilevel"/>
    <w:tmpl w:val="2474C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F1015"/>
    <w:multiLevelType w:val="hybridMultilevel"/>
    <w:tmpl w:val="63E0F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964897"/>
    <w:multiLevelType w:val="hybridMultilevel"/>
    <w:tmpl w:val="13A61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625886"/>
    <w:multiLevelType w:val="hybridMultilevel"/>
    <w:tmpl w:val="C572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796659"/>
    <w:multiLevelType w:val="hybridMultilevel"/>
    <w:tmpl w:val="461C2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2FFD3282"/>
    <w:multiLevelType w:val="hybridMultilevel"/>
    <w:tmpl w:val="C3A4F62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AA05F5"/>
    <w:multiLevelType w:val="hybridMultilevel"/>
    <w:tmpl w:val="61C2A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650035"/>
    <w:multiLevelType w:val="hybridMultilevel"/>
    <w:tmpl w:val="91529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AA1445"/>
    <w:multiLevelType w:val="hybridMultilevel"/>
    <w:tmpl w:val="92BA50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8B21139"/>
    <w:multiLevelType w:val="hybridMultilevel"/>
    <w:tmpl w:val="DC80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746C83"/>
    <w:multiLevelType w:val="hybridMultilevel"/>
    <w:tmpl w:val="5BB4A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749C8"/>
    <w:multiLevelType w:val="hybridMultilevel"/>
    <w:tmpl w:val="70C0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271D44"/>
    <w:multiLevelType w:val="hybridMultilevel"/>
    <w:tmpl w:val="8436AB94"/>
    <w:lvl w:ilvl="0" w:tplc="04090001">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27927F3"/>
    <w:multiLevelType w:val="hybridMultilevel"/>
    <w:tmpl w:val="D63EB73A"/>
    <w:lvl w:ilvl="0" w:tplc="04090001">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37623E3"/>
    <w:multiLevelType w:val="hybridMultilevel"/>
    <w:tmpl w:val="0A92CA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696FF1"/>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E052856"/>
    <w:multiLevelType w:val="hybridMultilevel"/>
    <w:tmpl w:val="038C6188"/>
    <w:lvl w:ilvl="0" w:tplc="8872E46E">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F2B3C6C"/>
    <w:multiLevelType w:val="hybridMultilevel"/>
    <w:tmpl w:val="6ECAC77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6D1C2288"/>
    <w:multiLevelType w:val="hybridMultilevel"/>
    <w:tmpl w:val="C4D81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5A03A7F"/>
    <w:multiLevelType w:val="hybridMultilevel"/>
    <w:tmpl w:val="3CCE0430"/>
    <w:lvl w:ilvl="0" w:tplc="04090001">
      <w:start w:val="1"/>
      <w:numFmt w:val="bullet"/>
      <w:lvlText w:val=""/>
      <w:lvlJc w:val="left"/>
      <w:pPr>
        <w:ind w:left="360" w:hanging="360"/>
      </w:pPr>
      <w:rPr>
        <w:rFonts w:ascii="Symbol" w:hAnsi="Symbol"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6415EE2"/>
    <w:multiLevelType w:val="hybridMultilevel"/>
    <w:tmpl w:val="A38A9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761F79"/>
    <w:multiLevelType w:val="hybridMultilevel"/>
    <w:tmpl w:val="8F9E2490"/>
    <w:lvl w:ilvl="0" w:tplc="04090001">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3B4273"/>
    <w:multiLevelType w:val="hybridMultilevel"/>
    <w:tmpl w:val="D47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081819"/>
    <w:multiLevelType w:val="hybridMultilevel"/>
    <w:tmpl w:val="77DE165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7"/>
  </w:num>
  <w:num w:numId="2">
    <w:abstractNumId w:val="15"/>
  </w:num>
  <w:num w:numId="3">
    <w:abstractNumId w:val="18"/>
  </w:num>
  <w:num w:numId="4">
    <w:abstractNumId w:val="35"/>
  </w:num>
  <w:num w:numId="5">
    <w:abstractNumId w:val="13"/>
  </w:num>
  <w:num w:numId="6">
    <w:abstractNumId w:val="2"/>
  </w:num>
  <w:num w:numId="7">
    <w:abstractNumId w:val="20"/>
  </w:num>
  <w:num w:numId="8">
    <w:abstractNumId w:val="31"/>
  </w:num>
  <w:num w:numId="9">
    <w:abstractNumId w:val="19"/>
  </w:num>
  <w:num w:numId="10">
    <w:abstractNumId w:val="6"/>
  </w:num>
  <w:num w:numId="11">
    <w:abstractNumId w:val="4"/>
  </w:num>
  <w:num w:numId="12">
    <w:abstractNumId w:val="37"/>
  </w:num>
  <w:num w:numId="13">
    <w:abstractNumId w:val="1"/>
  </w:num>
  <w:num w:numId="14">
    <w:abstractNumId w:val="21"/>
  </w:num>
  <w:num w:numId="15">
    <w:abstractNumId w:val="23"/>
  </w:num>
  <w:num w:numId="16">
    <w:abstractNumId w:val="20"/>
  </w:num>
  <w:num w:numId="17">
    <w:abstractNumId w:val="20"/>
  </w:num>
  <w:num w:numId="18">
    <w:abstractNumId w:val="20"/>
  </w:num>
  <w:num w:numId="19">
    <w:abstractNumId w:val="20"/>
  </w:num>
  <w:num w:numId="20">
    <w:abstractNumId w:val="20"/>
  </w:num>
  <w:num w:numId="21">
    <w:abstractNumId w:val="10"/>
  </w:num>
  <w:num w:numId="22">
    <w:abstractNumId w:val="12"/>
  </w:num>
  <w:num w:numId="23">
    <w:abstractNumId w:val="11"/>
  </w:num>
  <w:num w:numId="24">
    <w:abstractNumId w:val="8"/>
  </w:num>
  <w:num w:numId="25">
    <w:abstractNumId w:val="0"/>
  </w:num>
  <w:num w:numId="26">
    <w:abstractNumId w:val="5"/>
  </w:num>
  <w:num w:numId="27">
    <w:abstractNumId w:val="33"/>
  </w:num>
  <w:num w:numId="28">
    <w:abstractNumId w:val="27"/>
  </w:num>
  <w:num w:numId="29">
    <w:abstractNumId w:val="28"/>
  </w:num>
  <w:num w:numId="30">
    <w:abstractNumId w:val="36"/>
  </w:num>
  <w:num w:numId="31">
    <w:abstractNumId w:val="17"/>
  </w:num>
  <w:num w:numId="32">
    <w:abstractNumId w:val="9"/>
  </w:num>
  <w:num w:numId="33">
    <w:abstractNumId w:val="14"/>
  </w:num>
  <w:num w:numId="34">
    <w:abstractNumId w:val="3"/>
  </w:num>
  <w:num w:numId="35">
    <w:abstractNumId w:val="29"/>
  </w:num>
  <w:num w:numId="36">
    <w:abstractNumId w:val="32"/>
  </w:num>
  <w:num w:numId="37">
    <w:abstractNumId w:val="24"/>
  </w:num>
  <w:num w:numId="38">
    <w:abstractNumId w:val="22"/>
  </w:num>
  <w:num w:numId="39">
    <w:abstractNumId w:val="16"/>
  </w:num>
  <w:num w:numId="40">
    <w:abstractNumId w:val="30"/>
  </w:num>
  <w:num w:numId="41">
    <w:abstractNumId w:val="26"/>
  </w:num>
  <w:num w:numId="42">
    <w:abstractNumId w:val="34"/>
  </w:num>
  <w:num w:numId="4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1A00"/>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36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6D9A"/>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4C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08"/>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78B"/>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1EA9"/>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AA5"/>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5"/>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0A0"/>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65A"/>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1C8"/>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625"/>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167D"/>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BEA"/>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39C"/>
    <w:rsid w:val="005A3CCD"/>
    <w:rsid w:val="005A40A1"/>
    <w:rsid w:val="005A445E"/>
    <w:rsid w:val="005A4A78"/>
    <w:rsid w:val="005A5610"/>
    <w:rsid w:val="005A65EE"/>
    <w:rsid w:val="005A684B"/>
    <w:rsid w:val="005A6AB6"/>
    <w:rsid w:val="005A6AD0"/>
    <w:rsid w:val="005A7259"/>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5183"/>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A4B"/>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1EEC"/>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45"/>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4D84"/>
    <w:rsid w:val="006A5591"/>
    <w:rsid w:val="006A5C86"/>
    <w:rsid w:val="006A5E00"/>
    <w:rsid w:val="006A60DA"/>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4878"/>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2E25"/>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7EA"/>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0F0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00"/>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A07"/>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6C"/>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A7D8C"/>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E9B"/>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1C8E"/>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E6"/>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3294"/>
    <w:rsid w:val="00AB355A"/>
    <w:rsid w:val="00AB381A"/>
    <w:rsid w:val="00AB3F41"/>
    <w:rsid w:val="00AB3F86"/>
    <w:rsid w:val="00AB4242"/>
    <w:rsid w:val="00AB44C2"/>
    <w:rsid w:val="00AB452B"/>
    <w:rsid w:val="00AB4A2F"/>
    <w:rsid w:val="00AB4A9B"/>
    <w:rsid w:val="00AB4DCA"/>
    <w:rsid w:val="00AB5442"/>
    <w:rsid w:val="00AB544A"/>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6E16"/>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3F0"/>
    <w:rsid w:val="00B80A5B"/>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0FA"/>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4D7E"/>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56"/>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A80"/>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CE2"/>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6757"/>
    <w:rsid w:val="00CD7433"/>
    <w:rsid w:val="00CD7D18"/>
    <w:rsid w:val="00CE033C"/>
    <w:rsid w:val="00CE05F0"/>
    <w:rsid w:val="00CE0A06"/>
    <w:rsid w:val="00CE0D82"/>
    <w:rsid w:val="00CE0FDE"/>
    <w:rsid w:val="00CE163F"/>
    <w:rsid w:val="00CE18EB"/>
    <w:rsid w:val="00CE1B85"/>
    <w:rsid w:val="00CE244E"/>
    <w:rsid w:val="00CE3136"/>
    <w:rsid w:val="00CE36FE"/>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A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C4"/>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E72"/>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F26"/>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957"/>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4EEA"/>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01F"/>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643431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48003426">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6590054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33458717">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1DB78-7B08-4C96-A4E1-B5C7B2D7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8</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15073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2021-01-14T17:30:00Z</dcterms:created>
  <dcterms:modified xsi:type="dcterms:W3CDTF">2021-01-14T17:30:00Z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